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4C2" w:rsidRDefault="007F6F5A">
      <w:pPr>
        <w:jc w:val="center"/>
        <w:rPr>
          <w:b/>
          <w:sz w:val="32"/>
          <w:szCs w:val="32"/>
        </w:rPr>
      </w:pPr>
      <w:r>
        <w:rPr>
          <w:rFonts w:hint="eastAsia"/>
          <w:b/>
          <w:sz w:val="32"/>
          <w:szCs w:val="32"/>
        </w:rPr>
        <w:t>招标工程量清单编制说明</w:t>
      </w:r>
    </w:p>
    <w:p w:rsidR="00BB24C2" w:rsidRDefault="007F6F5A">
      <w:pPr>
        <w:spacing w:line="360" w:lineRule="auto"/>
        <w:rPr>
          <w:sz w:val="28"/>
          <w:szCs w:val="28"/>
        </w:rPr>
      </w:pPr>
      <w:r>
        <w:rPr>
          <w:rFonts w:hint="eastAsia"/>
          <w:sz w:val="28"/>
          <w:szCs w:val="28"/>
        </w:rPr>
        <w:t>一、工程概况</w:t>
      </w:r>
    </w:p>
    <w:p w:rsidR="00BB24C2" w:rsidRDefault="007F6F5A">
      <w:pPr>
        <w:spacing w:line="360" w:lineRule="auto"/>
        <w:ind w:firstLineChars="200" w:firstLine="420"/>
        <w:rPr>
          <w:rFonts w:ascii="宋体" w:hAnsi="宋体" w:cs="仿宋_GB2312"/>
          <w:szCs w:val="21"/>
        </w:rPr>
      </w:pPr>
      <w:r>
        <w:rPr>
          <w:rFonts w:ascii="宋体" w:hAnsi="宋体" w:cs="仿宋_GB2312" w:hint="eastAsia"/>
          <w:szCs w:val="21"/>
        </w:rPr>
        <w:t>本工程为南京大学</w:t>
      </w:r>
      <w:proofErr w:type="gramStart"/>
      <w:r>
        <w:rPr>
          <w:rFonts w:ascii="宋体" w:hAnsi="宋体" w:cs="仿宋_GB2312" w:hint="eastAsia"/>
          <w:szCs w:val="21"/>
        </w:rPr>
        <w:t>仙</w:t>
      </w:r>
      <w:proofErr w:type="gramEnd"/>
      <w:r>
        <w:rPr>
          <w:rFonts w:ascii="宋体" w:hAnsi="宋体" w:cs="仿宋_GB2312" w:hint="eastAsia"/>
          <w:szCs w:val="21"/>
        </w:rPr>
        <w:t>林校区南门新建自行车棚安装工程。建设规模、工程特征、施工现场实际情况、交通运输情况、自然地理条件、环境保护要求等见招标文件。</w:t>
      </w:r>
    </w:p>
    <w:p w:rsidR="00BB24C2" w:rsidRDefault="007F6F5A">
      <w:pPr>
        <w:numPr>
          <w:ilvl w:val="0"/>
          <w:numId w:val="1"/>
        </w:numPr>
        <w:spacing w:line="360" w:lineRule="auto"/>
        <w:rPr>
          <w:sz w:val="28"/>
          <w:szCs w:val="28"/>
        </w:rPr>
      </w:pPr>
      <w:r>
        <w:rPr>
          <w:rFonts w:hint="eastAsia"/>
          <w:sz w:val="28"/>
          <w:szCs w:val="28"/>
        </w:rPr>
        <w:t>工程招标和分包范围</w:t>
      </w:r>
    </w:p>
    <w:p w:rsidR="00BB24C2" w:rsidRDefault="007F6F5A">
      <w:pPr>
        <w:spacing w:line="360" w:lineRule="auto"/>
        <w:ind w:firstLineChars="200" w:firstLine="440"/>
        <w:rPr>
          <w:sz w:val="22"/>
        </w:rPr>
      </w:pPr>
      <w:r>
        <w:rPr>
          <w:rFonts w:hint="eastAsia"/>
          <w:sz w:val="22"/>
        </w:rPr>
        <w:t>本工程的招标范围为</w:t>
      </w:r>
      <w:r>
        <w:rPr>
          <w:rFonts w:ascii="宋体" w:hAnsi="宋体" w:cs="仿宋_GB2312" w:hint="eastAsia"/>
          <w:szCs w:val="21"/>
        </w:rPr>
        <w:t>南京大学</w:t>
      </w:r>
      <w:proofErr w:type="gramStart"/>
      <w:r>
        <w:rPr>
          <w:rFonts w:ascii="宋体" w:hAnsi="宋体" w:cs="仿宋_GB2312" w:hint="eastAsia"/>
          <w:szCs w:val="21"/>
        </w:rPr>
        <w:t>仙</w:t>
      </w:r>
      <w:proofErr w:type="gramEnd"/>
      <w:r>
        <w:rPr>
          <w:rFonts w:ascii="宋体" w:hAnsi="宋体" w:cs="仿宋_GB2312" w:hint="eastAsia"/>
          <w:szCs w:val="21"/>
        </w:rPr>
        <w:t>林校区南门新建自行车棚安装</w:t>
      </w:r>
      <w:r>
        <w:rPr>
          <w:rFonts w:hint="eastAsia"/>
          <w:sz w:val="22"/>
        </w:rPr>
        <w:t>，详见招标文件、设计图纸及工程量清单。</w:t>
      </w:r>
    </w:p>
    <w:p w:rsidR="00BB24C2" w:rsidRDefault="007F6F5A">
      <w:pPr>
        <w:spacing w:line="360" w:lineRule="auto"/>
        <w:rPr>
          <w:sz w:val="28"/>
          <w:szCs w:val="28"/>
        </w:rPr>
      </w:pPr>
      <w:r>
        <w:rPr>
          <w:rFonts w:hint="eastAsia"/>
          <w:sz w:val="28"/>
          <w:szCs w:val="28"/>
        </w:rPr>
        <w:t>三、编制依据</w:t>
      </w:r>
    </w:p>
    <w:p w:rsidR="00BB24C2" w:rsidRDefault="007F6F5A">
      <w:pPr>
        <w:spacing w:line="360" w:lineRule="auto"/>
        <w:ind w:firstLineChars="200" w:firstLine="440"/>
        <w:rPr>
          <w:color w:val="FF0000"/>
          <w:sz w:val="22"/>
        </w:rPr>
      </w:pPr>
      <w:r>
        <w:rPr>
          <w:rFonts w:hint="eastAsia"/>
          <w:sz w:val="22"/>
        </w:rPr>
        <w:t>1</w:t>
      </w:r>
      <w:r>
        <w:rPr>
          <w:rFonts w:hint="eastAsia"/>
          <w:sz w:val="22"/>
        </w:rPr>
        <w:t>、南京大学建筑规划设计研究院有限公司的施工图及其说明。</w:t>
      </w:r>
    </w:p>
    <w:p w:rsidR="00BB24C2" w:rsidRDefault="007F6F5A">
      <w:pPr>
        <w:spacing w:line="360" w:lineRule="auto"/>
        <w:ind w:firstLineChars="200" w:firstLine="440"/>
        <w:rPr>
          <w:sz w:val="22"/>
        </w:rPr>
      </w:pPr>
      <w:r>
        <w:rPr>
          <w:rFonts w:hint="eastAsia"/>
          <w:sz w:val="22"/>
        </w:rPr>
        <w:t>2</w:t>
      </w:r>
      <w:r>
        <w:rPr>
          <w:rFonts w:hint="eastAsia"/>
          <w:sz w:val="22"/>
        </w:rPr>
        <w:t>、计量规范：</w:t>
      </w:r>
    </w:p>
    <w:p w:rsidR="00BB24C2" w:rsidRDefault="007F6F5A">
      <w:pPr>
        <w:spacing w:line="360" w:lineRule="auto"/>
        <w:ind w:firstLineChars="200" w:firstLine="440"/>
        <w:rPr>
          <w:sz w:val="22"/>
        </w:rPr>
      </w:pPr>
      <w:r>
        <w:rPr>
          <w:rFonts w:hint="eastAsia"/>
          <w:sz w:val="22"/>
        </w:rPr>
        <w:t>①《建设工程工程量清单计价规范》（</w:t>
      </w:r>
      <w:r>
        <w:rPr>
          <w:rFonts w:hint="eastAsia"/>
          <w:sz w:val="22"/>
        </w:rPr>
        <w:t>GB50500-2013</w:t>
      </w:r>
      <w:r>
        <w:rPr>
          <w:rFonts w:hint="eastAsia"/>
          <w:sz w:val="22"/>
        </w:rPr>
        <w:t>）</w:t>
      </w:r>
    </w:p>
    <w:p w:rsidR="00BB24C2" w:rsidRDefault="007F6F5A">
      <w:pPr>
        <w:spacing w:line="360" w:lineRule="auto"/>
        <w:ind w:firstLineChars="200" w:firstLine="440"/>
        <w:rPr>
          <w:sz w:val="22"/>
        </w:rPr>
      </w:pPr>
      <w:r>
        <w:rPr>
          <w:rFonts w:hint="eastAsia"/>
          <w:sz w:val="22"/>
        </w:rPr>
        <w:t>②《市政工程工程量计算规范》（</w:t>
      </w:r>
      <w:r>
        <w:rPr>
          <w:rFonts w:hint="eastAsia"/>
          <w:sz w:val="22"/>
        </w:rPr>
        <w:t>GB50856-2013</w:t>
      </w:r>
      <w:r>
        <w:rPr>
          <w:rFonts w:hint="eastAsia"/>
          <w:sz w:val="22"/>
        </w:rPr>
        <w:t>）</w:t>
      </w:r>
    </w:p>
    <w:p w:rsidR="00BB24C2" w:rsidRDefault="007F6F5A">
      <w:pPr>
        <w:spacing w:line="360" w:lineRule="auto"/>
        <w:ind w:firstLineChars="200" w:firstLine="440"/>
        <w:rPr>
          <w:sz w:val="22"/>
        </w:rPr>
      </w:pPr>
      <w:r>
        <w:rPr>
          <w:rFonts w:hint="eastAsia"/>
          <w:sz w:val="22"/>
        </w:rPr>
        <w:t>③现行相关补充或调整文件</w:t>
      </w:r>
    </w:p>
    <w:p w:rsidR="00BB24C2" w:rsidRDefault="007F6F5A">
      <w:pPr>
        <w:spacing w:line="360" w:lineRule="auto"/>
        <w:ind w:firstLineChars="200" w:firstLine="440"/>
        <w:rPr>
          <w:sz w:val="22"/>
        </w:rPr>
      </w:pPr>
      <w:r>
        <w:rPr>
          <w:rFonts w:hint="eastAsia"/>
          <w:sz w:val="22"/>
        </w:rPr>
        <w:t>3</w:t>
      </w:r>
      <w:r>
        <w:rPr>
          <w:rFonts w:hint="eastAsia"/>
          <w:sz w:val="22"/>
        </w:rPr>
        <w:t>、与本工程项目有关的标准、施工规范与验收规范。</w:t>
      </w:r>
    </w:p>
    <w:p w:rsidR="00BB24C2" w:rsidRDefault="007F6F5A">
      <w:pPr>
        <w:spacing w:line="360" w:lineRule="auto"/>
        <w:rPr>
          <w:sz w:val="28"/>
          <w:szCs w:val="28"/>
        </w:rPr>
      </w:pPr>
      <w:r>
        <w:rPr>
          <w:rFonts w:hint="eastAsia"/>
          <w:sz w:val="28"/>
          <w:szCs w:val="28"/>
        </w:rPr>
        <w:t>四、取费标准</w:t>
      </w:r>
    </w:p>
    <w:p w:rsidR="00BB24C2" w:rsidRDefault="007F6F5A">
      <w:pPr>
        <w:spacing w:line="360" w:lineRule="auto"/>
        <w:ind w:firstLineChars="200" w:firstLine="440"/>
        <w:rPr>
          <w:sz w:val="22"/>
        </w:rPr>
      </w:pPr>
      <w:r>
        <w:rPr>
          <w:rFonts w:hint="eastAsia"/>
          <w:sz w:val="22"/>
        </w:rPr>
        <w:t>1</w:t>
      </w:r>
      <w:r>
        <w:rPr>
          <w:rFonts w:hint="eastAsia"/>
          <w:sz w:val="22"/>
        </w:rPr>
        <w:t>、《江苏省建设工程费用定额》（</w:t>
      </w:r>
      <w:r>
        <w:rPr>
          <w:rFonts w:hint="eastAsia"/>
          <w:sz w:val="22"/>
        </w:rPr>
        <w:t>2014</w:t>
      </w:r>
      <w:r>
        <w:rPr>
          <w:rFonts w:hint="eastAsia"/>
          <w:sz w:val="22"/>
        </w:rPr>
        <w:t>）。</w:t>
      </w:r>
    </w:p>
    <w:p w:rsidR="00BB24C2" w:rsidRDefault="007F6F5A">
      <w:pPr>
        <w:spacing w:line="360" w:lineRule="auto"/>
        <w:ind w:firstLineChars="200" w:firstLine="440"/>
        <w:rPr>
          <w:sz w:val="22"/>
        </w:rPr>
      </w:pPr>
      <w:r>
        <w:rPr>
          <w:rFonts w:hint="eastAsia"/>
          <w:sz w:val="22"/>
        </w:rPr>
        <w:t>2</w:t>
      </w:r>
      <w:r>
        <w:rPr>
          <w:rFonts w:hint="eastAsia"/>
          <w:sz w:val="22"/>
        </w:rPr>
        <w:t>、《省住房城乡建设厅关于建筑业实施营改增后江苏省建设工程计价依据调整的通知》</w:t>
      </w:r>
      <w:r>
        <w:rPr>
          <w:rFonts w:hint="eastAsia"/>
          <w:sz w:val="22"/>
        </w:rPr>
        <w:t xml:space="preserve"> </w:t>
      </w:r>
      <w:r>
        <w:rPr>
          <w:rFonts w:hint="eastAsia"/>
          <w:sz w:val="22"/>
        </w:rPr>
        <w:t>苏建价（</w:t>
      </w:r>
      <w:r>
        <w:rPr>
          <w:rFonts w:hint="eastAsia"/>
          <w:sz w:val="22"/>
        </w:rPr>
        <w:t>2016</w:t>
      </w:r>
      <w:r>
        <w:rPr>
          <w:rFonts w:hint="eastAsia"/>
          <w:sz w:val="22"/>
        </w:rPr>
        <w:t>）</w:t>
      </w:r>
      <w:r>
        <w:rPr>
          <w:rFonts w:hint="eastAsia"/>
          <w:sz w:val="22"/>
        </w:rPr>
        <w:t>154</w:t>
      </w:r>
      <w:r>
        <w:rPr>
          <w:rFonts w:hint="eastAsia"/>
          <w:sz w:val="22"/>
        </w:rPr>
        <w:t>号文及相关附件。</w:t>
      </w:r>
    </w:p>
    <w:p w:rsidR="00BB24C2" w:rsidRDefault="007F6F5A">
      <w:pPr>
        <w:spacing w:line="360" w:lineRule="auto"/>
        <w:ind w:firstLineChars="200" w:firstLine="440"/>
        <w:rPr>
          <w:sz w:val="22"/>
        </w:rPr>
      </w:pPr>
      <w:r>
        <w:rPr>
          <w:rFonts w:hint="eastAsia"/>
          <w:sz w:val="22"/>
        </w:rPr>
        <w:t>3</w:t>
      </w:r>
      <w:r>
        <w:rPr>
          <w:rFonts w:hint="eastAsia"/>
          <w:sz w:val="22"/>
        </w:rPr>
        <w:t>、《省住房城乡建设厅关于建筑业增值税计价政策调整的通知》苏建函价（</w:t>
      </w:r>
      <w:r>
        <w:rPr>
          <w:rFonts w:hint="eastAsia"/>
          <w:sz w:val="22"/>
        </w:rPr>
        <w:t>2019</w:t>
      </w:r>
      <w:r>
        <w:rPr>
          <w:rFonts w:hint="eastAsia"/>
          <w:sz w:val="22"/>
        </w:rPr>
        <w:t>）</w:t>
      </w:r>
      <w:r>
        <w:rPr>
          <w:rFonts w:hint="eastAsia"/>
          <w:sz w:val="22"/>
        </w:rPr>
        <w:t>178</w:t>
      </w:r>
      <w:r>
        <w:rPr>
          <w:rFonts w:hint="eastAsia"/>
          <w:sz w:val="22"/>
        </w:rPr>
        <w:t>号文。</w:t>
      </w:r>
    </w:p>
    <w:p w:rsidR="00BB24C2" w:rsidRDefault="007F6F5A">
      <w:pPr>
        <w:spacing w:line="360" w:lineRule="auto"/>
        <w:ind w:firstLineChars="200" w:firstLine="440"/>
        <w:rPr>
          <w:sz w:val="22"/>
        </w:rPr>
      </w:pPr>
      <w:r>
        <w:rPr>
          <w:rFonts w:hint="eastAsia"/>
          <w:sz w:val="22"/>
        </w:rPr>
        <w:t>4</w:t>
      </w:r>
      <w:r>
        <w:rPr>
          <w:rFonts w:hint="eastAsia"/>
          <w:sz w:val="22"/>
        </w:rPr>
        <w:t>、安全文明施工措施费计取基本费和扬尘污染防治增加费。</w:t>
      </w:r>
    </w:p>
    <w:p w:rsidR="00BB24C2" w:rsidRDefault="007F6F5A">
      <w:pPr>
        <w:spacing w:line="360" w:lineRule="auto"/>
        <w:ind w:firstLineChars="200" w:firstLine="440"/>
        <w:rPr>
          <w:sz w:val="22"/>
        </w:rPr>
      </w:pPr>
      <w:r>
        <w:rPr>
          <w:rFonts w:hint="eastAsia"/>
          <w:sz w:val="22"/>
        </w:rPr>
        <w:t>5</w:t>
      </w:r>
      <w:r>
        <w:rPr>
          <w:rFonts w:hint="eastAsia"/>
          <w:sz w:val="22"/>
        </w:rPr>
        <w:t>、政策性文件及报价参考执行投标截止日前省市建委造价有关文件，投标截止日后的省市建委造价文件不予执行。</w:t>
      </w:r>
    </w:p>
    <w:p w:rsidR="00BB24C2" w:rsidRDefault="007F6F5A">
      <w:pPr>
        <w:spacing w:line="360" w:lineRule="auto"/>
        <w:ind w:firstLineChars="200" w:firstLine="440"/>
        <w:rPr>
          <w:sz w:val="22"/>
        </w:rPr>
      </w:pPr>
      <w:r>
        <w:rPr>
          <w:rFonts w:hint="eastAsia"/>
          <w:sz w:val="22"/>
        </w:rPr>
        <w:t>6</w:t>
      </w:r>
      <w:r>
        <w:rPr>
          <w:rFonts w:hint="eastAsia"/>
          <w:sz w:val="22"/>
        </w:rPr>
        <w:t>、人工工资参考江苏省建设工程人工工资指导价自主报价，其它费用按照省市建委发布的有关文件及政策规定等执行，报价参考执行投标截止日前省建设厅、市建委造价有关文件。</w:t>
      </w:r>
    </w:p>
    <w:p w:rsidR="00BB24C2" w:rsidRDefault="007F6F5A">
      <w:pPr>
        <w:spacing w:line="360" w:lineRule="auto"/>
        <w:ind w:firstLineChars="200" w:firstLine="440"/>
        <w:rPr>
          <w:sz w:val="22"/>
        </w:rPr>
      </w:pPr>
      <w:r>
        <w:rPr>
          <w:rFonts w:hint="eastAsia"/>
          <w:sz w:val="22"/>
        </w:rPr>
        <w:t>7</w:t>
      </w:r>
      <w:r>
        <w:rPr>
          <w:rFonts w:hint="eastAsia"/>
          <w:sz w:val="22"/>
        </w:rPr>
        <w:t>、暂列金额及暂</w:t>
      </w:r>
      <w:bookmarkStart w:id="0" w:name="_GoBack"/>
      <w:bookmarkEnd w:id="0"/>
      <w:r>
        <w:rPr>
          <w:rFonts w:hint="eastAsia"/>
          <w:sz w:val="22"/>
        </w:rPr>
        <w:t>估价：</w:t>
      </w:r>
    </w:p>
    <w:p w:rsidR="00BB24C2" w:rsidRDefault="007F6F5A">
      <w:pPr>
        <w:spacing w:line="360" w:lineRule="auto"/>
        <w:ind w:firstLineChars="200" w:firstLine="440"/>
        <w:rPr>
          <w:sz w:val="22"/>
          <w:highlight w:val="yellow"/>
        </w:rPr>
      </w:pPr>
      <w:r>
        <w:rPr>
          <w:rFonts w:hint="eastAsia"/>
          <w:sz w:val="22"/>
        </w:rPr>
        <w:t>（</w:t>
      </w:r>
      <w:r>
        <w:rPr>
          <w:rFonts w:hint="eastAsia"/>
          <w:sz w:val="22"/>
        </w:rPr>
        <w:t>1</w:t>
      </w:r>
      <w:r>
        <w:rPr>
          <w:rFonts w:hint="eastAsia"/>
          <w:sz w:val="22"/>
        </w:rPr>
        <w:t>）暂列金额：</w:t>
      </w:r>
      <w:r w:rsidR="0078431F" w:rsidRPr="0078431F">
        <w:rPr>
          <w:sz w:val="22"/>
        </w:rPr>
        <w:t>20340.7</w:t>
      </w:r>
      <w:r>
        <w:rPr>
          <w:rFonts w:hint="eastAsia"/>
          <w:sz w:val="22"/>
        </w:rPr>
        <w:t>元</w:t>
      </w:r>
    </w:p>
    <w:p w:rsidR="00BB24C2" w:rsidRDefault="007F6F5A">
      <w:pPr>
        <w:numPr>
          <w:ilvl w:val="0"/>
          <w:numId w:val="2"/>
        </w:numPr>
        <w:spacing w:line="360" w:lineRule="auto"/>
        <w:rPr>
          <w:sz w:val="28"/>
          <w:szCs w:val="28"/>
        </w:rPr>
      </w:pPr>
      <w:r>
        <w:rPr>
          <w:rFonts w:hint="eastAsia"/>
          <w:sz w:val="28"/>
          <w:szCs w:val="28"/>
        </w:rPr>
        <w:lastRenderedPageBreak/>
        <w:t>图纸及工程量计算中的相关说明</w:t>
      </w:r>
    </w:p>
    <w:p w:rsidR="00BB24C2" w:rsidRDefault="007F6F5A">
      <w:pPr>
        <w:snapToGrid w:val="0"/>
        <w:spacing w:line="360" w:lineRule="auto"/>
        <w:ind w:firstLineChars="200" w:firstLine="420"/>
        <w:rPr>
          <w:rFonts w:ascii="宋体" w:hAnsi="宋体" w:cs="仿宋_GB2312"/>
          <w:szCs w:val="21"/>
        </w:rPr>
      </w:pPr>
      <w:r>
        <w:rPr>
          <w:rFonts w:ascii="宋体" w:hAnsi="宋体" w:cs="仿宋_GB2312" w:hint="eastAsia"/>
          <w:szCs w:val="21"/>
        </w:rPr>
        <w:t>1、投标人须考虑各项</w:t>
      </w:r>
      <w:proofErr w:type="gramStart"/>
      <w:r>
        <w:rPr>
          <w:rFonts w:ascii="宋体" w:hAnsi="宋体" w:cs="仿宋_GB2312" w:hint="eastAsia"/>
          <w:szCs w:val="21"/>
        </w:rPr>
        <w:t>目产生</w:t>
      </w:r>
      <w:proofErr w:type="gramEnd"/>
      <w:r>
        <w:rPr>
          <w:rFonts w:ascii="宋体" w:hAnsi="宋体" w:cs="仿宋_GB2312" w:hint="eastAsia"/>
          <w:szCs w:val="21"/>
        </w:rPr>
        <w:t>的建筑垃圾及时清运，费用包含但不仅限于场内运输、垃圾装车、外运等各项费用，此部分费用包干，结算</w:t>
      </w:r>
      <w:proofErr w:type="gramStart"/>
      <w:r>
        <w:rPr>
          <w:rFonts w:ascii="宋体" w:hAnsi="宋体" w:cs="仿宋_GB2312" w:hint="eastAsia"/>
          <w:szCs w:val="21"/>
        </w:rPr>
        <w:t>时综合</w:t>
      </w:r>
      <w:proofErr w:type="gramEnd"/>
      <w:r>
        <w:rPr>
          <w:rFonts w:ascii="宋体" w:hAnsi="宋体" w:cs="仿宋_GB2312" w:hint="eastAsia"/>
          <w:szCs w:val="21"/>
        </w:rPr>
        <w:t>单价不予调整。</w:t>
      </w:r>
    </w:p>
    <w:p w:rsidR="00BB24C2" w:rsidRDefault="007F6F5A">
      <w:pPr>
        <w:snapToGrid w:val="0"/>
        <w:spacing w:line="360" w:lineRule="auto"/>
        <w:ind w:firstLineChars="200" w:firstLine="420"/>
        <w:rPr>
          <w:rFonts w:ascii="宋体" w:hAnsi="宋体" w:cs="仿宋_GB2312"/>
          <w:szCs w:val="21"/>
        </w:rPr>
      </w:pPr>
      <w:r>
        <w:rPr>
          <w:rFonts w:ascii="宋体" w:hAnsi="宋体" w:cs="仿宋_GB2312" w:hint="eastAsia"/>
          <w:szCs w:val="21"/>
        </w:rPr>
        <w:t>2、投标人应提前进行现场勘查以充分了解其施工环境，工地位置及任何其他足以影响承包价及工期的情况，招标人对于现有的施工环境及条件将不增加任何投入，请投标人自行考虑并计入投标价内。</w:t>
      </w:r>
    </w:p>
    <w:p w:rsidR="00BB24C2" w:rsidRDefault="007F6F5A">
      <w:pPr>
        <w:snapToGrid w:val="0"/>
        <w:spacing w:line="360" w:lineRule="auto"/>
        <w:ind w:firstLineChars="200" w:firstLine="420"/>
        <w:rPr>
          <w:rFonts w:ascii="宋体" w:hAnsi="宋体" w:cs="宋体"/>
          <w:szCs w:val="21"/>
        </w:rPr>
      </w:pPr>
      <w:r>
        <w:rPr>
          <w:rFonts w:ascii="宋体" w:hAnsi="宋体" w:cs="仿宋_GB2312" w:hint="eastAsia"/>
          <w:szCs w:val="21"/>
        </w:rPr>
        <w:t>3、本工程量清单与投标须知、合同条件、合同协议条款，工程规范和</w:t>
      </w:r>
      <w:r>
        <w:rPr>
          <w:rFonts w:ascii="宋体" w:hAnsi="宋体" w:cs="宋体" w:hint="eastAsia"/>
          <w:szCs w:val="21"/>
        </w:rPr>
        <w:t>图纸一起使用，本工程量清单中如有项目特征描述不全，应结合设计图纸及招标文件，并应当综合考虑施工规范、技术规范、地方规章、</w:t>
      </w:r>
      <w:r>
        <w:rPr>
          <w:rFonts w:ascii="宋体" w:hAnsi="宋体" w:cs="宋体"/>
          <w:szCs w:val="21"/>
        </w:rPr>
        <w:t>施工工艺</w:t>
      </w:r>
      <w:r>
        <w:rPr>
          <w:rFonts w:ascii="宋体" w:hAnsi="宋体" w:cs="宋体" w:hint="eastAsia"/>
          <w:szCs w:val="21"/>
        </w:rPr>
        <w:t>等的要求，所产生的费用计入投标报价中；清单特征中未描述的，但</w:t>
      </w:r>
      <w:r>
        <w:rPr>
          <w:rFonts w:ascii="宋体" w:hAnsi="宋体" w:cs="宋体"/>
          <w:szCs w:val="21"/>
        </w:rPr>
        <w:t>13</w:t>
      </w:r>
      <w:r>
        <w:rPr>
          <w:rFonts w:ascii="宋体" w:hAnsi="宋体" w:cs="宋体" w:hint="eastAsia"/>
          <w:szCs w:val="21"/>
        </w:rPr>
        <w:t>计价规范中注明的工程内容，承包人在报价应充分考虑“工程内容”而产生的费用，列入相应报价中，安装、调试及其他辅助工作内容均应考虑在内。</w:t>
      </w:r>
    </w:p>
    <w:p w:rsidR="00BB24C2" w:rsidRDefault="007F6F5A">
      <w:pPr>
        <w:snapToGrid w:val="0"/>
        <w:spacing w:line="360" w:lineRule="auto"/>
        <w:ind w:firstLineChars="200" w:firstLine="420"/>
        <w:rPr>
          <w:rFonts w:ascii="宋体" w:hAnsi="宋体" w:cs="仿宋_GB2312"/>
          <w:szCs w:val="21"/>
        </w:rPr>
      </w:pPr>
      <w:r>
        <w:rPr>
          <w:rFonts w:ascii="宋体" w:hAnsi="宋体" w:cs="仿宋_GB2312" w:hint="eastAsia"/>
          <w:szCs w:val="21"/>
        </w:rPr>
        <w:t>4、所有</w:t>
      </w:r>
      <w:proofErr w:type="gramStart"/>
      <w:r>
        <w:rPr>
          <w:rFonts w:ascii="宋体" w:hAnsi="宋体" w:cs="仿宋_GB2312" w:hint="eastAsia"/>
          <w:szCs w:val="21"/>
        </w:rPr>
        <w:t>材料的卸力</w:t>
      </w:r>
      <w:proofErr w:type="gramEnd"/>
      <w:r>
        <w:rPr>
          <w:rFonts w:ascii="宋体" w:hAnsi="宋体" w:cs="仿宋_GB2312" w:hint="eastAsia"/>
          <w:szCs w:val="21"/>
        </w:rPr>
        <w:t>费、保管费、二次搬运费以及施工范围内的垃圾清运由投标方自行考虑计入报价，投标人中标后不得以任何理由要求费用补偿。</w:t>
      </w:r>
    </w:p>
    <w:p w:rsidR="00BB24C2" w:rsidRDefault="007F6F5A">
      <w:pPr>
        <w:spacing w:line="360" w:lineRule="auto"/>
        <w:rPr>
          <w:sz w:val="28"/>
          <w:szCs w:val="28"/>
        </w:rPr>
      </w:pPr>
      <w:r>
        <w:rPr>
          <w:rFonts w:hint="eastAsia"/>
          <w:sz w:val="28"/>
          <w:szCs w:val="28"/>
        </w:rPr>
        <w:t>六、主要材料设备</w:t>
      </w:r>
    </w:p>
    <w:p w:rsidR="00BB24C2" w:rsidRDefault="007F6F5A">
      <w:pPr>
        <w:spacing w:line="360" w:lineRule="auto"/>
        <w:ind w:firstLineChars="200" w:firstLine="440"/>
        <w:rPr>
          <w:sz w:val="22"/>
        </w:rPr>
      </w:pPr>
      <w:r>
        <w:rPr>
          <w:rFonts w:hint="eastAsia"/>
          <w:sz w:val="22"/>
        </w:rPr>
        <w:t>（一）投标人负责采购的主要材料设备</w:t>
      </w:r>
    </w:p>
    <w:p w:rsidR="00BB24C2" w:rsidRDefault="007F6F5A">
      <w:pPr>
        <w:spacing w:line="360" w:lineRule="auto"/>
        <w:ind w:firstLineChars="200" w:firstLine="440"/>
        <w:rPr>
          <w:sz w:val="22"/>
        </w:rPr>
      </w:pPr>
      <w:r>
        <w:rPr>
          <w:rFonts w:hint="eastAsia"/>
          <w:sz w:val="22"/>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rsidR="00BB24C2" w:rsidRDefault="007F6F5A">
      <w:pPr>
        <w:numPr>
          <w:ilvl w:val="0"/>
          <w:numId w:val="3"/>
        </w:numPr>
        <w:spacing w:line="360" w:lineRule="auto"/>
        <w:ind w:firstLineChars="200" w:firstLine="440"/>
        <w:rPr>
          <w:sz w:val="22"/>
        </w:rPr>
      </w:pPr>
      <w:r>
        <w:rPr>
          <w:rFonts w:hint="eastAsia"/>
          <w:sz w:val="22"/>
        </w:rPr>
        <w:t>主要材料品牌推荐表如下：</w:t>
      </w:r>
    </w:p>
    <w:tbl>
      <w:tblPr>
        <w:tblW w:w="8059" w:type="dxa"/>
        <w:tblInd w:w="93" w:type="dxa"/>
        <w:tblLayout w:type="fixed"/>
        <w:tblLook w:val="04A0" w:firstRow="1" w:lastRow="0" w:firstColumn="1" w:lastColumn="0" w:noHBand="0" w:noVBand="1"/>
      </w:tblPr>
      <w:tblGrid>
        <w:gridCol w:w="667"/>
        <w:gridCol w:w="1472"/>
        <w:gridCol w:w="1688"/>
        <w:gridCol w:w="2771"/>
        <w:gridCol w:w="1461"/>
      </w:tblGrid>
      <w:tr w:rsidR="00BB24C2">
        <w:trPr>
          <w:trHeight w:val="499"/>
        </w:trPr>
        <w:tc>
          <w:tcPr>
            <w:tcW w:w="667" w:type="dxa"/>
            <w:tcBorders>
              <w:top w:val="single" w:sz="4" w:space="0" w:color="000000"/>
              <w:left w:val="single" w:sz="4" w:space="0" w:color="000000"/>
              <w:bottom w:val="single" w:sz="4" w:space="0" w:color="000000"/>
              <w:right w:val="single" w:sz="4" w:space="0" w:color="000000"/>
            </w:tcBorders>
            <w:vAlign w:val="center"/>
          </w:tcPr>
          <w:p w:rsidR="00BB24C2" w:rsidRDefault="007F6F5A">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序号</w:t>
            </w:r>
          </w:p>
        </w:tc>
        <w:tc>
          <w:tcPr>
            <w:tcW w:w="1472" w:type="dxa"/>
            <w:tcBorders>
              <w:top w:val="single" w:sz="4" w:space="0" w:color="000000"/>
              <w:left w:val="single" w:sz="4" w:space="0" w:color="000000"/>
              <w:bottom w:val="single" w:sz="4" w:space="0" w:color="000000"/>
              <w:right w:val="single" w:sz="4" w:space="0" w:color="000000"/>
            </w:tcBorders>
            <w:vAlign w:val="center"/>
          </w:tcPr>
          <w:p w:rsidR="00BB24C2" w:rsidRDefault="007F6F5A">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材料设备名称</w:t>
            </w:r>
          </w:p>
        </w:tc>
        <w:tc>
          <w:tcPr>
            <w:tcW w:w="1688" w:type="dxa"/>
            <w:tcBorders>
              <w:top w:val="single" w:sz="4" w:space="0" w:color="000000"/>
              <w:left w:val="single" w:sz="4" w:space="0" w:color="000000"/>
              <w:bottom w:val="single" w:sz="4" w:space="0" w:color="000000"/>
              <w:right w:val="nil"/>
            </w:tcBorders>
            <w:vAlign w:val="center"/>
          </w:tcPr>
          <w:p w:rsidR="00BB24C2" w:rsidRDefault="007F6F5A">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推荐品牌、系列</w:t>
            </w:r>
          </w:p>
        </w:tc>
        <w:tc>
          <w:tcPr>
            <w:tcW w:w="2771" w:type="dxa"/>
            <w:tcBorders>
              <w:top w:val="single" w:sz="4" w:space="0" w:color="000000"/>
              <w:left w:val="single" w:sz="4" w:space="0" w:color="000000"/>
              <w:bottom w:val="single" w:sz="4" w:space="0" w:color="000000"/>
              <w:right w:val="single" w:sz="4" w:space="0" w:color="000000"/>
            </w:tcBorders>
            <w:vAlign w:val="center"/>
          </w:tcPr>
          <w:p w:rsidR="00BB24C2" w:rsidRDefault="007F6F5A">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制造商或总经销商</w:t>
            </w:r>
          </w:p>
        </w:tc>
        <w:tc>
          <w:tcPr>
            <w:tcW w:w="1461" w:type="dxa"/>
            <w:tcBorders>
              <w:top w:val="single" w:sz="4" w:space="0" w:color="000000"/>
              <w:left w:val="single" w:sz="4" w:space="0" w:color="000000"/>
              <w:bottom w:val="single" w:sz="4" w:space="0" w:color="000000"/>
              <w:right w:val="single" w:sz="4" w:space="0" w:color="000000"/>
            </w:tcBorders>
            <w:vAlign w:val="center"/>
          </w:tcPr>
          <w:p w:rsidR="00BB24C2" w:rsidRDefault="007F6F5A">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备注</w:t>
            </w:r>
          </w:p>
        </w:tc>
      </w:tr>
      <w:tr w:rsidR="00BB24C2">
        <w:trPr>
          <w:trHeight w:val="499"/>
        </w:trPr>
        <w:tc>
          <w:tcPr>
            <w:tcW w:w="667" w:type="dxa"/>
            <w:vMerge w:val="restart"/>
            <w:tcBorders>
              <w:top w:val="single" w:sz="4" w:space="0" w:color="000000"/>
              <w:left w:val="single" w:sz="4" w:space="0" w:color="000000"/>
              <w:bottom w:val="single" w:sz="4" w:space="0" w:color="000000"/>
              <w:right w:val="single" w:sz="4" w:space="0" w:color="000000"/>
            </w:tcBorders>
            <w:vAlign w:val="center"/>
          </w:tcPr>
          <w:p w:rsidR="00BB24C2" w:rsidRDefault="007F6F5A">
            <w:pPr>
              <w:widowControl/>
              <w:jc w:val="center"/>
              <w:textAlignment w:val="center"/>
              <w:rPr>
                <w:rFonts w:ascii="宋体" w:eastAsia="宋体" w:hAnsi="宋体" w:cs="宋体"/>
                <w:color w:val="000000"/>
                <w:kern w:val="0"/>
                <w:sz w:val="20"/>
                <w:szCs w:val="20"/>
                <w:highlight w:val="yellow"/>
                <w:lang w:bidi="ar"/>
              </w:rPr>
            </w:pPr>
            <w:r>
              <w:rPr>
                <w:rFonts w:ascii="宋体" w:hAnsi="宋体" w:cs="宋体" w:hint="eastAsia"/>
                <w:color w:val="000000"/>
                <w:kern w:val="0"/>
                <w:sz w:val="20"/>
                <w:szCs w:val="20"/>
                <w:lang w:bidi="ar"/>
              </w:rPr>
              <w:t>1</w:t>
            </w:r>
          </w:p>
        </w:tc>
        <w:tc>
          <w:tcPr>
            <w:tcW w:w="1472" w:type="dxa"/>
            <w:vMerge w:val="restart"/>
            <w:tcBorders>
              <w:top w:val="single" w:sz="4" w:space="0" w:color="000000"/>
              <w:left w:val="single" w:sz="4" w:space="0" w:color="000000"/>
              <w:bottom w:val="single" w:sz="4" w:space="0" w:color="000000"/>
              <w:right w:val="single" w:sz="4" w:space="0" w:color="000000"/>
            </w:tcBorders>
            <w:vAlign w:val="center"/>
          </w:tcPr>
          <w:p w:rsidR="00BB24C2" w:rsidRDefault="007F6F5A">
            <w:pPr>
              <w:widowControl/>
              <w:tabs>
                <w:tab w:val="left" w:pos="273"/>
              </w:tabs>
              <w:jc w:val="left"/>
              <w:textAlignment w:val="center"/>
              <w:rPr>
                <w:rFonts w:ascii="宋体" w:eastAsia="宋体" w:hAnsi="宋体" w:cs="宋体"/>
                <w:color w:val="000000"/>
                <w:kern w:val="0"/>
                <w:sz w:val="20"/>
                <w:szCs w:val="20"/>
                <w:highlight w:val="yellow"/>
                <w:lang w:bidi="ar"/>
              </w:rPr>
            </w:pPr>
            <w:r>
              <w:rPr>
                <w:rFonts w:ascii="宋体" w:hAnsi="宋体" w:cs="宋体" w:hint="eastAsia"/>
                <w:color w:val="000000"/>
                <w:kern w:val="0"/>
                <w:sz w:val="20"/>
                <w:szCs w:val="20"/>
                <w:lang w:bidi="ar"/>
              </w:rPr>
              <w:tab/>
              <w:t>水泥</w:t>
            </w:r>
          </w:p>
        </w:tc>
        <w:tc>
          <w:tcPr>
            <w:tcW w:w="1688" w:type="dxa"/>
            <w:tcBorders>
              <w:top w:val="single" w:sz="4" w:space="0" w:color="000000"/>
              <w:left w:val="single" w:sz="4" w:space="0" w:color="000000"/>
              <w:bottom w:val="single" w:sz="4" w:space="0" w:color="000000"/>
              <w:right w:val="nil"/>
            </w:tcBorders>
            <w:vAlign w:val="center"/>
          </w:tcPr>
          <w:p w:rsidR="00BB24C2" w:rsidRDefault="007F6F5A">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海螺</w:t>
            </w:r>
          </w:p>
        </w:tc>
        <w:tc>
          <w:tcPr>
            <w:tcW w:w="2771" w:type="dxa"/>
            <w:tcBorders>
              <w:top w:val="single" w:sz="4" w:space="0" w:color="000000"/>
              <w:left w:val="single" w:sz="4" w:space="0" w:color="000000"/>
              <w:bottom w:val="single" w:sz="4" w:space="0" w:color="000000"/>
              <w:right w:val="single" w:sz="4" w:space="0" w:color="000000"/>
            </w:tcBorders>
            <w:vAlign w:val="center"/>
          </w:tcPr>
          <w:p w:rsidR="00BB24C2" w:rsidRDefault="0078431F">
            <w:pPr>
              <w:widowControl/>
              <w:jc w:val="center"/>
              <w:textAlignment w:val="center"/>
              <w:rPr>
                <w:rFonts w:ascii="宋体" w:eastAsia="宋体" w:hAnsi="宋体" w:cs="宋体"/>
                <w:color w:val="000000"/>
                <w:kern w:val="0"/>
                <w:sz w:val="20"/>
                <w:szCs w:val="20"/>
                <w:lang w:bidi="ar"/>
              </w:rPr>
            </w:pPr>
            <w:hyperlink r:id="rId5" w:history="1">
              <w:r w:rsidR="007F6F5A">
                <w:rPr>
                  <w:rFonts w:ascii="宋体" w:eastAsia="宋体" w:hAnsi="宋体" w:cs="宋体" w:hint="eastAsia"/>
                  <w:color w:val="000000"/>
                  <w:kern w:val="0"/>
                  <w:sz w:val="20"/>
                  <w:szCs w:val="20"/>
                  <w:lang w:bidi="ar"/>
                </w:rPr>
                <w:t>安徽海螺水泥股份有限公司</w:t>
              </w:r>
            </w:hyperlink>
          </w:p>
        </w:tc>
        <w:tc>
          <w:tcPr>
            <w:tcW w:w="1461" w:type="dxa"/>
            <w:tcBorders>
              <w:top w:val="single" w:sz="4" w:space="0" w:color="000000"/>
              <w:left w:val="single" w:sz="4" w:space="0" w:color="000000"/>
              <w:bottom w:val="single" w:sz="4" w:space="0" w:color="000000"/>
              <w:right w:val="single" w:sz="4" w:space="0" w:color="000000"/>
            </w:tcBorders>
            <w:vAlign w:val="center"/>
          </w:tcPr>
          <w:p w:rsidR="00BB24C2" w:rsidRDefault="00BB24C2">
            <w:pPr>
              <w:jc w:val="center"/>
              <w:rPr>
                <w:rFonts w:ascii="宋体" w:eastAsia="宋体" w:hAnsi="宋体" w:cs="宋体"/>
                <w:color w:val="000000"/>
                <w:sz w:val="20"/>
                <w:szCs w:val="20"/>
                <w:highlight w:val="yellow"/>
              </w:rPr>
            </w:pPr>
          </w:p>
        </w:tc>
      </w:tr>
      <w:tr w:rsidR="00BB24C2">
        <w:trPr>
          <w:trHeight w:val="237"/>
        </w:trPr>
        <w:tc>
          <w:tcPr>
            <w:tcW w:w="667" w:type="dxa"/>
            <w:vMerge/>
            <w:tcBorders>
              <w:top w:val="single" w:sz="4" w:space="0" w:color="000000"/>
              <w:left w:val="single" w:sz="4" w:space="0" w:color="000000"/>
              <w:bottom w:val="single" w:sz="4" w:space="0" w:color="000000"/>
              <w:right w:val="single" w:sz="4" w:space="0" w:color="000000"/>
            </w:tcBorders>
            <w:vAlign w:val="center"/>
          </w:tcPr>
          <w:p w:rsidR="00BB24C2" w:rsidRDefault="00BB24C2">
            <w:pPr>
              <w:widowControl/>
              <w:jc w:val="center"/>
              <w:textAlignment w:val="center"/>
              <w:rPr>
                <w:rFonts w:ascii="宋体" w:eastAsia="宋体" w:hAnsi="宋体" w:cs="宋体"/>
                <w:color w:val="000000"/>
                <w:sz w:val="20"/>
                <w:szCs w:val="20"/>
                <w:highlight w:val="yellow"/>
              </w:rPr>
            </w:pPr>
          </w:p>
        </w:tc>
        <w:tc>
          <w:tcPr>
            <w:tcW w:w="1472" w:type="dxa"/>
            <w:vMerge/>
            <w:tcBorders>
              <w:top w:val="single" w:sz="4" w:space="0" w:color="000000"/>
              <w:left w:val="single" w:sz="4" w:space="0" w:color="000000"/>
              <w:bottom w:val="single" w:sz="4" w:space="0" w:color="000000"/>
              <w:right w:val="single" w:sz="4" w:space="0" w:color="000000"/>
            </w:tcBorders>
            <w:vAlign w:val="center"/>
          </w:tcPr>
          <w:p w:rsidR="00BB24C2" w:rsidRDefault="00BB24C2">
            <w:pPr>
              <w:widowControl/>
              <w:jc w:val="center"/>
              <w:textAlignment w:val="center"/>
              <w:rPr>
                <w:rFonts w:ascii="宋体" w:eastAsia="宋体" w:hAnsi="宋体" w:cs="宋体"/>
                <w:color w:val="000000"/>
                <w:sz w:val="20"/>
                <w:szCs w:val="20"/>
                <w:highlight w:val="yellow"/>
              </w:rPr>
            </w:pPr>
          </w:p>
        </w:tc>
        <w:tc>
          <w:tcPr>
            <w:tcW w:w="1688" w:type="dxa"/>
            <w:tcBorders>
              <w:top w:val="single" w:sz="4" w:space="0" w:color="000000"/>
              <w:left w:val="single" w:sz="4" w:space="0" w:color="000000"/>
              <w:bottom w:val="single" w:sz="4" w:space="0" w:color="000000"/>
              <w:right w:val="nil"/>
            </w:tcBorders>
            <w:vAlign w:val="center"/>
          </w:tcPr>
          <w:p w:rsidR="00BB24C2" w:rsidRDefault="007F6F5A">
            <w:pPr>
              <w:widowControl/>
              <w:jc w:val="center"/>
              <w:textAlignment w:val="center"/>
              <w:rPr>
                <w:rFonts w:ascii="宋体" w:eastAsia="宋体" w:hAnsi="宋体" w:cs="宋体"/>
                <w:color w:val="000000"/>
                <w:kern w:val="0"/>
                <w:sz w:val="20"/>
                <w:szCs w:val="20"/>
                <w:highlight w:val="yellow"/>
                <w:lang w:bidi="ar"/>
              </w:rPr>
            </w:pPr>
            <w:r>
              <w:rPr>
                <w:rFonts w:ascii="宋体" w:eastAsia="宋体" w:hAnsi="宋体" w:cs="宋体" w:hint="eastAsia"/>
                <w:color w:val="000000"/>
                <w:kern w:val="0"/>
                <w:sz w:val="20"/>
                <w:szCs w:val="20"/>
                <w:lang w:bidi="ar"/>
              </w:rPr>
              <w:t>鹤林</w:t>
            </w:r>
          </w:p>
        </w:tc>
        <w:tc>
          <w:tcPr>
            <w:tcW w:w="2771" w:type="dxa"/>
            <w:tcBorders>
              <w:top w:val="single" w:sz="4" w:space="0" w:color="000000"/>
              <w:left w:val="single" w:sz="4" w:space="0" w:color="000000"/>
              <w:bottom w:val="single" w:sz="4" w:space="0" w:color="000000"/>
              <w:right w:val="single" w:sz="4" w:space="0" w:color="000000"/>
            </w:tcBorders>
            <w:vAlign w:val="center"/>
          </w:tcPr>
          <w:p w:rsidR="00BB24C2" w:rsidRDefault="0078431F">
            <w:pPr>
              <w:widowControl/>
              <w:jc w:val="center"/>
              <w:textAlignment w:val="center"/>
              <w:rPr>
                <w:rFonts w:ascii="宋体" w:eastAsia="宋体" w:hAnsi="宋体" w:cs="宋体"/>
                <w:color w:val="000000"/>
                <w:kern w:val="0"/>
                <w:sz w:val="20"/>
                <w:szCs w:val="20"/>
                <w:lang w:bidi="ar"/>
              </w:rPr>
            </w:pPr>
            <w:hyperlink r:id="rId6" w:history="1">
              <w:r w:rsidR="007F6F5A">
                <w:rPr>
                  <w:rFonts w:ascii="宋体" w:eastAsia="宋体" w:hAnsi="宋体" w:cs="宋体" w:hint="eastAsia"/>
                  <w:color w:val="000000"/>
                  <w:kern w:val="0"/>
                  <w:sz w:val="20"/>
                  <w:szCs w:val="20"/>
                  <w:lang w:bidi="ar"/>
                </w:rPr>
                <w:t>江苏鹤林水泥有限公司</w:t>
              </w:r>
            </w:hyperlink>
          </w:p>
        </w:tc>
        <w:tc>
          <w:tcPr>
            <w:tcW w:w="1461" w:type="dxa"/>
            <w:tcBorders>
              <w:top w:val="single" w:sz="4" w:space="0" w:color="000000"/>
              <w:left w:val="single" w:sz="4" w:space="0" w:color="000000"/>
              <w:bottom w:val="single" w:sz="4" w:space="0" w:color="000000"/>
              <w:right w:val="single" w:sz="4" w:space="0" w:color="000000"/>
            </w:tcBorders>
            <w:vAlign w:val="center"/>
          </w:tcPr>
          <w:p w:rsidR="00BB24C2" w:rsidRDefault="00BB24C2">
            <w:pPr>
              <w:jc w:val="center"/>
              <w:rPr>
                <w:rFonts w:ascii="宋体" w:eastAsia="宋体" w:hAnsi="宋体" w:cs="宋体"/>
                <w:color w:val="000000"/>
                <w:sz w:val="20"/>
                <w:szCs w:val="20"/>
                <w:highlight w:val="yellow"/>
              </w:rPr>
            </w:pPr>
          </w:p>
        </w:tc>
      </w:tr>
      <w:tr w:rsidR="00BB24C2">
        <w:trPr>
          <w:trHeight w:val="374"/>
        </w:trPr>
        <w:tc>
          <w:tcPr>
            <w:tcW w:w="667" w:type="dxa"/>
            <w:vMerge/>
            <w:tcBorders>
              <w:top w:val="single" w:sz="4" w:space="0" w:color="000000"/>
              <w:left w:val="single" w:sz="4" w:space="0" w:color="000000"/>
              <w:bottom w:val="single" w:sz="4" w:space="0" w:color="000000"/>
              <w:right w:val="single" w:sz="4" w:space="0" w:color="000000"/>
            </w:tcBorders>
            <w:vAlign w:val="center"/>
          </w:tcPr>
          <w:p w:rsidR="00BB24C2" w:rsidRDefault="00BB24C2">
            <w:pPr>
              <w:widowControl/>
              <w:jc w:val="center"/>
              <w:textAlignment w:val="center"/>
              <w:rPr>
                <w:rFonts w:ascii="宋体" w:eastAsia="宋体" w:hAnsi="宋体" w:cs="宋体"/>
                <w:color w:val="000000"/>
                <w:sz w:val="20"/>
                <w:szCs w:val="20"/>
                <w:highlight w:val="yellow"/>
              </w:rPr>
            </w:pPr>
          </w:p>
        </w:tc>
        <w:tc>
          <w:tcPr>
            <w:tcW w:w="1472" w:type="dxa"/>
            <w:vMerge/>
            <w:tcBorders>
              <w:top w:val="single" w:sz="4" w:space="0" w:color="000000"/>
              <w:left w:val="single" w:sz="4" w:space="0" w:color="000000"/>
              <w:bottom w:val="single" w:sz="4" w:space="0" w:color="000000"/>
              <w:right w:val="single" w:sz="4" w:space="0" w:color="000000"/>
            </w:tcBorders>
            <w:vAlign w:val="center"/>
          </w:tcPr>
          <w:p w:rsidR="00BB24C2" w:rsidRDefault="00BB24C2">
            <w:pPr>
              <w:widowControl/>
              <w:jc w:val="center"/>
              <w:textAlignment w:val="center"/>
              <w:rPr>
                <w:rFonts w:ascii="宋体" w:eastAsia="宋体" w:hAnsi="宋体" w:cs="宋体"/>
                <w:color w:val="000000"/>
                <w:sz w:val="20"/>
                <w:szCs w:val="20"/>
                <w:highlight w:val="yellow"/>
              </w:rPr>
            </w:pPr>
          </w:p>
        </w:tc>
        <w:tc>
          <w:tcPr>
            <w:tcW w:w="1688" w:type="dxa"/>
            <w:tcBorders>
              <w:top w:val="single" w:sz="4" w:space="0" w:color="000000"/>
              <w:left w:val="single" w:sz="4" w:space="0" w:color="000000"/>
              <w:bottom w:val="single" w:sz="4" w:space="0" w:color="000000"/>
              <w:right w:val="nil"/>
            </w:tcBorders>
            <w:vAlign w:val="center"/>
          </w:tcPr>
          <w:p w:rsidR="00BB24C2" w:rsidRDefault="007F6F5A">
            <w:pPr>
              <w:widowControl/>
              <w:jc w:val="center"/>
              <w:textAlignment w:val="center"/>
              <w:rPr>
                <w:rFonts w:ascii="宋体" w:eastAsia="宋体" w:hAnsi="宋体" w:cs="宋体"/>
                <w:color w:val="000000"/>
                <w:sz w:val="20"/>
                <w:szCs w:val="20"/>
                <w:highlight w:val="yellow"/>
              </w:rPr>
            </w:pPr>
            <w:r>
              <w:rPr>
                <w:rFonts w:ascii="宋体" w:eastAsia="宋体" w:hAnsi="宋体" w:cs="宋体" w:hint="eastAsia"/>
                <w:color w:val="000000"/>
                <w:kern w:val="0"/>
                <w:sz w:val="20"/>
                <w:szCs w:val="20"/>
                <w:lang w:bidi="ar"/>
              </w:rPr>
              <w:t>中联</w:t>
            </w:r>
          </w:p>
        </w:tc>
        <w:tc>
          <w:tcPr>
            <w:tcW w:w="2771" w:type="dxa"/>
            <w:tcBorders>
              <w:top w:val="single" w:sz="4" w:space="0" w:color="000000"/>
              <w:left w:val="single" w:sz="4" w:space="0" w:color="000000"/>
              <w:bottom w:val="single" w:sz="4" w:space="0" w:color="000000"/>
              <w:right w:val="single" w:sz="4" w:space="0" w:color="000000"/>
            </w:tcBorders>
            <w:vAlign w:val="center"/>
          </w:tcPr>
          <w:p w:rsidR="00BB24C2" w:rsidRDefault="0078431F">
            <w:pPr>
              <w:widowControl/>
              <w:jc w:val="center"/>
              <w:textAlignment w:val="center"/>
              <w:rPr>
                <w:rFonts w:ascii="宋体" w:eastAsia="宋体" w:hAnsi="宋体" w:cs="宋体"/>
                <w:color w:val="000000"/>
                <w:kern w:val="0"/>
                <w:sz w:val="20"/>
                <w:szCs w:val="20"/>
                <w:lang w:bidi="ar"/>
              </w:rPr>
            </w:pPr>
            <w:hyperlink r:id="rId7" w:history="1">
              <w:r w:rsidR="007F6F5A">
                <w:rPr>
                  <w:rFonts w:ascii="宋体" w:eastAsia="宋体" w:hAnsi="宋体" w:cs="宋体" w:hint="eastAsia"/>
                  <w:color w:val="000000"/>
                  <w:kern w:val="0"/>
                  <w:sz w:val="20"/>
                  <w:szCs w:val="20"/>
                  <w:lang w:bidi="ar"/>
                </w:rPr>
                <w:t>中国联合水泥集团有限公司</w:t>
              </w:r>
            </w:hyperlink>
          </w:p>
        </w:tc>
        <w:tc>
          <w:tcPr>
            <w:tcW w:w="1461" w:type="dxa"/>
            <w:tcBorders>
              <w:top w:val="single" w:sz="4" w:space="0" w:color="000000"/>
              <w:left w:val="single" w:sz="4" w:space="0" w:color="000000"/>
              <w:bottom w:val="single" w:sz="4" w:space="0" w:color="000000"/>
              <w:right w:val="single" w:sz="4" w:space="0" w:color="000000"/>
            </w:tcBorders>
            <w:vAlign w:val="center"/>
          </w:tcPr>
          <w:p w:rsidR="00BB24C2" w:rsidRDefault="00BB24C2">
            <w:pPr>
              <w:jc w:val="center"/>
              <w:rPr>
                <w:rFonts w:ascii="宋体" w:eastAsia="宋体" w:hAnsi="宋体" w:cs="宋体"/>
                <w:color w:val="000000"/>
                <w:sz w:val="20"/>
                <w:szCs w:val="20"/>
                <w:highlight w:val="yellow"/>
              </w:rPr>
            </w:pPr>
          </w:p>
        </w:tc>
      </w:tr>
      <w:tr w:rsidR="00BB24C2">
        <w:trPr>
          <w:trHeight w:val="499"/>
        </w:trPr>
        <w:tc>
          <w:tcPr>
            <w:tcW w:w="667" w:type="dxa"/>
            <w:vMerge w:val="restart"/>
            <w:tcBorders>
              <w:top w:val="single" w:sz="4" w:space="0" w:color="000000"/>
              <w:left w:val="single" w:sz="4" w:space="0" w:color="000000"/>
              <w:bottom w:val="single" w:sz="4" w:space="0" w:color="000000"/>
              <w:right w:val="single" w:sz="4" w:space="0" w:color="000000"/>
            </w:tcBorders>
            <w:vAlign w:val="center"/>
          </w:tcPr>
          <w:p w:rsidR="00BB24C2" w:rsidRDefault="007F6F5A">
            <w:pPr>
              <w:widowControl/>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1472" w:type="dxa"/>
            <w:tcBorders>
              <w:top w:val="single" w:sz="4" w:space="0" w:color="000000"/>
              <w:left w:val="single" w:sz="4" w:space="0" w:color="000000"/>
              <w:bottom w:val="single" w:sz="4" w:space="0" w:color="000000"/>
              <w:right w:val="single" w:sz="4" w:space="0" w:color="000000"/>
            </w:tcBorders>
            <w:vAlign w:val="center"/>
          </w:tcPr>
          <w:p w:rsidR="00BB24C2" w:rsidRDefault="007F6F5A">
            <w:pPr>
              <w:widowControl/>
              <w:jc w:val="center"/>
              <w:textAlignment w:val="center"/>
              <w:rPr>
                <w:rFonts w:ascii="宋体" w:hAnsi="宋体" w:cs="宋体"/>
                <w:color w:val="000000"/>
                <w:kern w:val="0"/>
                <w:sz w:val="20"/>
                <w:szCs w:val="20"/>
                <w:lang w:bidi="ar"/>
              </w:rPr>
            </w:pPr>
            <w:r>
              <w:rPr>
                <w:rFonts w:ascii="宋体" w:eastAsia="宋体" w:hAnsi="宋体" w:cs="宋体" w:hint="eastAsia"/>
                <w:color w:val="000000"/>
                <w:kern w:val="0"/>
                <w:sz w:val="20"/>
                <w:szCs w:val="20"/>
                <w:lang w:bidi="ar"/>
              </w:rPr>
              <w:t>马钢</w:t>
            </w:r>
          </w:p>
        </w:tc>
        <w:tc>
          <w:tcPr>
            <w:tcW w:w="1688" w:type="dxa"/>
            <w:tcBorders>
              <w:top w:val="single" w:sz="4" w:space="0" w:color="000000"/>
              <w:left w:val="single" w:sz="4" w:space="0" w:color="000000"/>
              <w:bottom w:val="single" w:sz="4" w:space="0" w:color="000000"/>
              <w:right w:val="single" w:sz="4" w:space="0" w:color="000000"/>
            </w:tcBorders>
            <w:vAlign w:val="center"/>
          </w:tcPr>
          <w:p w:rsidR="00BB24C2" w:rsidRDefault="007F6F5A">
            <w:pPr>
              <w:widowControl/>
              <w:jc w:val="center"/>
              <w:textAlignment w:val="center"/>
              <w:rPr>
                <w:rFonts w:ascii="宋体" w:eastAsia="宋体" w:hAnsi="宋体" w:cs="宋体"/>
                <w:color w:val="000000"/>
                <w:sz w:val="20"/>
                <w:szCs w:val="20"/>
                <w:highlight w:val="yellow"/>
              </w:rPr>
            </w:pPr>
            <w:r>
              <w:rPr>
                <w:rFonts w:ascii="宋体" w:eastAsia="宋体" w:hAnsi="宋体" w:cs="宋体" w:hint="eastAsia"/>
                <w:color w:val="000000"/>
                <w:kern w:val="0"/>
                <w:sz w:val="20"/>
                <w:szCs w:val="20"/>
                <w:lang w:bidi="ar"/>
              </w:rPr>
              <w:t>马鞍山钢铁股份有限公司（总厂产品）</w:t>
            </w:r>
          </w:p>
        </w:tc>
        <w:tc>
          <w:tcPr>
            <w:tcW w:w="2771" w:type="dxa"/>
            <w:tcBorders>
              <w:top w:val="single" w:sz="4" w:space="0" w:color="000000"/>
              <w:left w:val="single" w:sz="4" w:space="0" w:color="000000"/>
              <w:bottom w:val="single" w:sz="4" w:space="0" w:color="000000"/>
              <w:right w:val="single" w:sz="4" w:space="0" w:color="000000"/>
            </w:tcBorders>
            <w:vAlign w:val="center"/>
          </w:tcPr>
          <w:p w:rsidR="00BB24C2" w:rsidRDefault="007F6F5A">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马钢</w:t>
            </w:r>
          </w:p>
        </w:tc>
        <w:tc>
          <w:tcPr>
            <w:tcW w:w="1461" w:type="dxa"/>
            <w:tcBorders>
              <w:top w:val="single" w:sz="4" w:space="0" w:color="000000"/>
              <w:left w:val="single" w:sz="4" w:space="0" w:color="000000"/>
              <w:bottom w:val="single" w:sz="4" w:space="0" w:color="000000"/>
              <w:right w:val="single" w:sz="4" w:space="0" w:color="000000"/>
            </w:tcBorders>
            <w:vAlign w:val="center"/>
          </w:tcPr>
          <w:p w:rsidR="00BB24C2" w:rsidRDefault="007F6F5A">
            <w:pPr>
              <w:widowControl/>
              <w:jc w:val="center"/>
              <w:textAlignment w:val="center"/>
              <w:rPr>
                <w:rFonts w:ascii="宋体" w:eastAsia="宋体" w:hAnsi="宋体" w:cs="宋体"/>
                <w:color w:val="000000"/>
                <w:sz w:val="20"/>
                <w:szCs w:val="20"/>
                <w:highlight w:val="yellow"/>
              </w:rPr>
            </w:pPr>
            <w:r>
              <w:rPr>
                <w:rFonts w:ascii="宋体" w:eastAsia="宋体" w:hAnsi="宋体" w:cs="宋体" w:hint="eastAsia"/>
                <w:color w:val="000000"/>
                <w:kern w:val="0"/>
                <w:sz w:val="20"/>
                <w:szCs w:val="20"/>
                <w:lang w:bidi="ar"/>
              </w:rPr>
              <w:t>马鞍山钢铁股份有限公司（总厂产品）</w:t>
            </w:r>
          </w:p>
        </w:tc>
      </w:tr>
      <w:tr w:rsidR="00BB24C2">
        <w:trPr>
          <w:trHeight w:val="499"/>
        </w:trPr>
        <w:tc>
          <w:tcPr>
            <w:tcW w:w="667" w:type="dxa"/>
            <w:vMerge/>
            <w:tcBorders>
              <w:top w:val="single" w:sz="4" w:space="0" w:color="000000"/>
              <w:left w:val="single" w:sz="4" w:space="0" w:color="000000"/>
              <w:bottom w:val="single" w:sz="4" w:space="0" w:color="000000"/>
              <w:right w:val="single" w:sz="4" w:space="0" w:color="000000"/>
            </w:tcBorders>
            <w:vAlign w:val="center"/>
          </w:tcPr>
          <w:p w:rsidR="00BB24C2" w:rsidRDefault="00BB24C2">
            <w:pPr>
              <w:widowControl/>
              <w:jc w:val="center"/>
              <w:textAlignment w:val="center"/>
              <w:rPr>
                <w:rFonts w:ascii="宋体" w:hAnsi="宋体" w:cs="宋体"/>
                <w:color w:val="000000"/>
                <w:kern w:val="0"/>
                <w:sz w:val="20"/>
                <w:szCs w:val="20"/>
                <w:lang w:bidi="ar"/>
              </w:rPr>
            </w:pPr>
          </w:p>
        </w:tc>
        <w:tc>
          <w:tcPr>
            <w:tcW w:w="1472" w:type="dxa"/>
            <w:tcBorders>
              <w:top w:val="single" w:sz="4" w:space="0" w:color="000000"/>
              <w:left w:val="single" w:sz="4" w:space="0" w:color="000000"/>
              <w:bottom w:val="single" w:sz="4" w:space="0" w:color="000000"/>
              <w:right w:val="single" w:sz="4" w:space="0" w:color="000000"/>
            </w:tcBorders>
            <w:vAlign w:val="center"/>
          </w:tcPr>
          <w:p w:rsidR="00BB24C2" w:rsidRDefault="007F6F5A">
            <w:pPr>
              <w:widowControl/>
              <w:jc w:val="center"/>
              <w:textAlignment w:val="center"/>
              <w:rPr>
                <w:rFonts w:ascii="宋体" w:hAnsi="宋体" w:cs="宋体"/>
                <w:color w:val="000000"/>
                <w:kern w:val="0"/>
                <w:sz w:val="20"/>
                <w:szCs w:val="20"/>
                <w:lang w:bidi="ar"/>
              </w:rPr>
            </w:pPr>
            <w:r>
              <w:rPr>
                <w:rFonts w:ascii="宋体" w:eastAsia="宋体" w:hAnsi="宋体" w:cs="宋体" w:hint="eastAsia"/>
                <w:color w:val="000000"/>
                <w:kern w:val="0"/>
                <w:sz w:val="20"/>
                <w:szCs w:val="20"/>
                <w:lang w:bidi="ar"/>
              </w:rPr>
              <w:t>沙钢</w:t>
            </w:r>
          </w:p>
        </w:tc>
        <w:tc>
          <w:tcPr>
            <w:tcW w:w="1688" w:type="dxa"/>
            <w:tcBorders>
              <w:top w:val="single" w:sz="4" w:space="0" w:color="000000"/>
              <w:left w:val="single" w:sz="4" w:space="0" w:color="000000"/>
              <w:bottom w:val="single" w:sz="4" w:space="0" w:color="000000"/>
              <w:right w:val="nil"/>
            </w:tcBorders>
            <w:vAlign w:val="center"/>
          </w:tcPr>
          <w:p w:rsidR="00BB24C2" w:rsidRDefault="007F6F5A">
            <w:pPr>
              <w:widowControl/>
              <w:jc w:val="center"/>
              <w:textAlignment w:val="center"/>
              <w:rPr>
                <w:rFonts w:ascii="宋体" w:hAnsi="宋体" w:cs="宋体"/>
                <w:color w:val="000000"/>
                <w:kern w:val="0"/>
                <w:sz w:val="20"/>
                <w:szCs w:val="20"/>
                <w:lang w:bidi="ar"/>
              </w:rPr>
            </w:pPr>
            <w:r>
              <w:rPr>
                <w:rFonts w:ascii="宋体" w:eastAsia="宋体" w:hAnsi="宋体" w:cs="宋体" w:hint="eastAsia"/>
                <w:color w:val="000000"/>
                <w:kern w:val="0"/>
                <w:sz w:val="20"/>
                <w:szCs w:val="20"/>
                <w:lang w:bidi="ar"/>
              </w:rPr>
              <w:t>江苏沙钢集团有限公司（总厂产品）</w:t>
            </w:r>
          </w:p>
        </w:tc>
        <w:tc>
          <w:tcPr>
            <w:tcW w:w="2771" w:type="dxa"/>
            <w:tcBorders>
              <w:top w:val="single" w:sz="4" w:space="0" w:color="000000"/>
              <w:left w:val="single" w:sz="4" w:space="0" w:color="000000"/>
              <w:bottom w:val="single" w:sz="4" w:space="0" w:color="000000"/>
              <w:right w:val="single" w:sz="4" w:space="0" w:color="000000"/>
            </w:tcBorders>
            <w:vAlign w:val="center"/>
          </w:tcPr>
          <w:p w:rsidR="00BB24C2" w:rsidRDefault="007F6F5A">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沙钢</w:t>
            </w:r>
          </w:p>
        </w:tc>
        <w:tc>
          <w:tcPr>
            <w:tcW w:w="1461" w:type="dxa"/>
            <w:tcBorders>
              <w:top w:val="single" w:sz="4" w:space="0" w:color="000000"/>
              <w:left w:val="single" w:sz="4" w:space="0" w:color="000000"/>
              <w:bottom w:val="single" w:sz="4" w:space="0" w:color="000000"/>
              <w:right w:val="single" w:sz="4" w:space="0" w:color="000000"/>
            </w:tcBorders>
            <w:vAlign w:val="center"/>
          </w:tcPr>
          <w:p w:rsidR="00BB24C2" w:rsidRDefault="007F6F5A">
            <w:pPr>
              <w:widowControl/>
              <w:jc w:val="center"/>
              <w:textAlignment w:val="center"/>
              <w:rPr>
                <w:rFonts w:ascii="宋体" w:eastAsia="宋体" w:hAnsi="宋体" w:cs="宋体"/>
                <w:color w:val="000000"/>
                <w:sz w:val="20"/>
                <w:szCs w:val="20"/>
                <w:highlight w:val="yellow"/>
              </w:rPr>
            </w:pPr>
            <w:r>
              <w:rPr>
                <w:rFonts w:ascii="宋体" w:eastAsia="宋体" w:hAnsi="宋体" w:cs="宋体" w:hint="eastAsia"/>
                <w:color w:val="000000"/>
                <w:kern w:val="0"/>
                <w:sz w:val="20"/>
                <w:szCs w:val="20"/>
                <w:lang w:bidi="ar"/>
              </w:rPr>
              <w:t>江苏沙钢集团有限公司（总厂产品）</w:t>
            </w:r>
          </w:p>
        </w:tc>
      </w:tr>
      <w:tr w:rsidR="00BB24C2">
        <w:trPr>
          <w:trHeight w:val="499"/>
        </w:trPr>
        <w:tc>
          <w:tcPr>
            <w:tcW w:w="667" w:type="dxa"/>
            <w:vMerge/>
            <w:tcBorders>
              <w:top w:val="single" w:sz="4" w:space="0" w:color="000000"/>
              <w:left w:val="single" w:sz="4" w:space="0" w:color="000000"/>
              <w:bottom w:val="single" w:sz="4" w:space="0" w:color="000000"/>
              <w:right w:val="single" w:sz="4" w:space="0" w:color="000000"/>
            </w:tcBorders>
            <w:vAlign w:val="center"/>
          </w:tcPr>
          <w:p w:rsidR="00BB24C2" w:rsidRDefault="00BB24C2">
            <w:pPr>
              <w:widowControl/>
              <w:jc w:val="center"/>
              <w:textAlignment w:val="center"/>
              <w:rPr>
                <w:rFonts w:ascii="宋体" w:hAnsi="宋体" w:cs="宋体"/>
                <w:color w:val="000000"/>
                <w:kern w:val="0"/>
                <w:sz w:val="20"/>
                <w:szCs w:val="20"/>
                <w:lang w:bidi="ar"/>
              </w:rPr>
            </w:pPr>
          </w:p>
        </w:tc>
        <w:tc>
          <w:tcPr>
            <w:tcW w:w="1472" w:type="dxa"/>
            <w:tcBorders>
              <w:top w:val="single" w:sz="4" w:space="0" w:color="000000"/>
              <w:left w:val="single" w:sz="4" w:space="0" w:color="000000"/>
              <w:bottom w:val="single" w:sz="4" w:space="0" w:color="000000"/>
              <w:right w:val="single" w:sz="4" w:space="0" w:color="000000"/>
            </w:tcBorders>
            <w:vAlign w:val="center"/>
          </w:tcPr>
          <w:p w:rsidR="00BB24C2" w:rsidRDefault="007F6F5A">
            <w:pPr>
              <w:widowControl/>
              <w:jc w:val="center"/>
              <w:textAlignment w:val="center"/>
              <w:rPr>
                <w:rFonts w:ascii="宋体" w:hAnsi="宋体" w:cs="宋体"/>
                <w:color w:val="000000"/>
                <w:kern w:val="0"/>
                <w:sz w:val="20"/>
                <w:szCs w:val="20"/>
                <w:lang w:bidi="ar"/>
              </w:rPr>
            </w:pPr>
            <w:r>
              <w:rPr>
                <w:rFonts w:ascii="宋体" w:eastAsia="宋体" w:hAnsi="宋体" w:cs="宋体" w:hint="eastAsia"/>
                <w:color w:val="000000"/>
                <w:kern w:val="0"/>
                <w:sz w:val="20"/>
                <w:szCs w:val="20"/>
                <w:lang w:bidi="ar"/>
              </w:rPr>
              <w:t>南钢</w:t>
            </w:r>
          </w:p>
        </w:tc>
        <w:tc>
          <w:tcPr>
            <w:tcW w:w="1688" w:type="dxa"/>
            <w:tcBorders>
              <w:top w:val="single" w:sz="4" w:space="0" w:color="000000"/>
              <w:left w:val="single" w:sz="4" w:space="0" w:color="000000"/>
              <w:bottom w:val="single" w:sz="4" w:space="0" w:color="000000"/>
              <w:right w:val="nil"/>
            </w:tcBorders>
            <w:vAlign w:val="center"/>
          </w:tcPr>
          <w:p w:rsidR="00BB24C2" w:rsidRDefault="007F6F5A">
            <w:pPr>
              <w:widowControl/>
              <w:jc w:val="center"/>
              <w:textAlignment w:val="center"/>
              <w:rPr>
                <w:rFonts w:ascii="宋体" w:hAnsi="宋体" w:cs="宋体"/>
                <w:color w:val="000000"/>
                <w:kern w:val="0"/>
                <w:sz w:val="20"/>
                <w:szCs w:val="20"/>
                <w:lang w:bidi="ar"/>
              </w:rPr>
            </w:pPr>
            <w:r>
              <w:rPr>
                <w:rFonts w:ascii="宋体" w:eastAsia="宋体" w:hAnsi="宋体" w:cs="宋体" w:hint="eastAsia"/>
                <w:color w:val="000000"/>
                <w:kern w:val="0"/>
                <w:sz w:val="20"/>
                <w:szCs w:val="20"/>
                <w:lang w:bidi="ar"/>
              </w:rPr>
              <w:t>南京钢铁股份有限公司（总厂产</w:t>
            </w:r>
            <w:r>
              <w:rPr>
                <w:rFonts w:ascii="宋体" w:eastAsia="宋体" w:hAnsi="宋体" w:cs="宋体" w:hint="eastAsia"/>
                <w:color w:val="000000"/>
                <w:kern w:val="0"/>
                <w:sz w:val="20"/>
                <w:szCs w:val="20"/>
                <w:lang w:bidi="ar"/>
              </w:rPr>
              <w:lastRenderedPageBreak/>
              <w:t>品）</w:t>
            </w:r>
          </w:p>
        </w:tc>
        <w:tc>
          <w:tcPr>
            <w:tcW w:w="2771" w:type="dxa"/>
            <w:tcBorders>
              <w:top w:val="single" w:sz="4" w:space="0" w:color="000000"/>
              <w:left w:val="single" w:sz="4" w:space="0" w:color="000000"/>
              <w:bottom w:val="single" w:sz="4" w:space="0" w:color="000000"/>
              <w:right w:val="single" w:sz="4" w:space="0" w:color="000000"/>
            </w:tcBorders>
            <w:noWrap/>
            <w:vAlign w:val="center"/>
          </w:tcPr>
          <w:p w:rsidR="00BB24C2" w:rsidRDefault="007F6F5A">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lastRenderedPageBreak/>
              <w:t>南钢</w:t>
            </w:r>
          </w:p>
        </w:tc>
        <w:tc>
          <w:tcPr>
            <w:tcW w:w="1461" w:type="dxa"/>
            <w:tcBorders>
              <w:top w:val="single" w:sz="4" w:space="0" w:color="000000"/>
              <w:left w:val="single" w:sz="4" w:space="0" w:color="000000"/>
              <w:bottom w:val="single" w:sz="4" w:space="0" w:color="000000"/>
              <w:right w:val="single" w:sz="4" w:space="0" w:color="000000"/>
            </w:tcBorders>
            <w:vAlign w:val="center"/>
          </w:tcPr>
          <w:p w:rsidR="00BB24C2" w:rsidRDefault="007F6F5A">
            <w:pPr>
              <w:widowControl/>
              <w:jc w:val="center"/>
              <w:textAlignment w:val="center"/>
              <w:rPr>
                <w:rFonts w:ascii="宋体" w:eastAsia="宋体" w:hAnsi="宋体" w:cs="宋体"/>
                <w:color w:val="000000"/>
                <w:sz w:val="20"/>
                <w:szCs w:val="20"/>
                <w:highlight w:val="yellow"/>
              </w:rPr>
            </w:pPr>
            <w:r>
              <w:rPr>
                <w:rFonts w:ascii="宋体" w:eastAsia="宋体" w:hAnsi="宋体" w:cs="宋体" w:hint="eastAsia"/>
                <w:color w:val="000000"/>
                <w:kern w:val="0"/>
                <w:sz w:val="20"/>
                <w:szCs w:val="20"/>
                <w:lang w:bidi="ar"/>
              </w:rPr>
              <w:t>南京钢铁股份有限公司（总</w:t>
            </w:r>
            <w:r>
              <w:rPr>
                <w:rFonts w:ascii="宋体" w:eastAsia="宋体" w:hAnsi="宋体" w:cs="宋体" w:hint="eastAsia"/>
                <w:color w:val="000000"/>
                <w:kern w:val="0"/>
                <w:sz w:val="20"/>
                <w:szCs w:val="20"/>
                <w:lang w:bidi="ar"/>
              </w:rPr>
              <w:lastRenderedPageBreak/>
              <w:t>厂产品）</w:t>
            </w:r>
          </w:p>
        </w:tc>
      </w:tr>
      <w:tr w:rsidR="00BB24C2">
        <w:trPr>
          <w:trHeight w:val="499"/>
        </w:trPr>
        <w:tc>
          <w:tcPr>
            <w:tcW w:w="667" w:type="dxa"/>
            <w:tcBorders>
              <w:top w:val="single" w:sz="4" w:space="0" w:color="000000"/>
              <w:left w:val="single" w:sz="4" w:space="0" w:color="000000"/>
              <w:bottom w:val="single" w:sz="4" w:space="0" w:color="000000"/>
              <w:right w:val="single" w:sz="4" w:space="0" w:color="000000"/>
            </w:tcBorders>
            <w:vAlign w:val="center"/>
          </w:tcPr>
          <w:p w:rsidR="00BB24C2" w:rsidRDefault="00BB24C2">
            <w:pPr>
              <w:widowControl/>
              <w:jc w:val="center"/>
              <w:textAlignment w:val="center"/>
              <w:rPr>
                <w:rFonts w:ascii="宋体" w:hAnsi="宋体" w:cs="宋体"/>
                <w:color w:val="000000"/>
                <w:kern w:val="0"/>
                <w:sz w:val="20"/>
                <w:szCs w:val="20"/>
                <w:lang w:bidi="ar"/>
              </w:rPr>
            </w:pPr>
          </w:p>
        </w:tc>
        <w:tc>
          <w:tcPr>
            <w:tcW w:w="1472" w:type="dxa"/>
            <w:tcBorders>
              <w:top w:val="single" w:sz="4" w:space="0" w:color="000000"/>
              <w:left w:val="single" w:sz="4" w:space="0" w:color="000000"/>
              <w:bottom w:val="single" w:sz="4" w:space="0" w:color="000000"/>
              <w:right w:val="single" w:sz="4" w:space="0" w:color="000000"/>
            </w:tcBorders>
            <w:vAlign w:val="center"/>
          </w:tcPr>
          <w:p w:rsidR="00BB24C2" w:rsidRDefault="007F6F5A">
            <w:pPr>
              <w:widowControl/>
              <w:jc w:val="center"/>
              <w:textAlignment w:val="center"/>
              <w:rPr>
                <w:rFonts w:ascii="宋体" w:hAnsi="宋体" w:cs="宋体"/>
                <w:color w:val="000000"/>
                <w:kern w:val="0"/>
                <w:sz w:val="20"/>
                <w:szCs w:val="20"/>
                <w:lang w:bidi="ar"/>
              </w:rPr>
            </w:pPr>
            <w:proofErr w:type="gramStart"/>
            <w:r>
              <w:rPr>
                <w:rFonts w:ascii="宋体" w:eastAsia="宋体" w:hAnsi="宋体" w:cs="宋体" w:hint="eastAsia"/>
                <w:color w:val="000000"/>
                <w:kern w:val="0"/>
                <w:sz w:val="20"/>
                <w:szCs w:val="20"/>
                <w:lang w:bidi="ar"/>
              </w:rPr>
              <w:t>永钢</w:t>
            </w:r>
            <w:proofErr w:type="gramEnd"/>
          </w:p>
        </w:tc>
        <w:tc>
          <w:tcPr>
            <w:tcW w:w="1688" w:type="dxa"/>
            <w:tcBorders>
              <w:top w:val="single" w:sz="4" w:space="0" w:color="000000"/>
              <w:left w:val="single" w:sz="4" w:space="0" w:color="000000"/>
              <w:bottom w:val="single" w:sz="4" w:space="0" w:color="000000"/>
              <w:right w:val="nil"/>
            </w:tcBorders>
            <w:vAlign w:val="center"/>
          </w:tcPr>
          <w:p w:rsidR="00BB24C2" w:rsidRDefault="007F6F5A">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江苏永钢集团有限公司（总厂产品）</w:t>
            </w:r>
          </w:p>
        </w:tc>
        <w:tc>
          <w:tcPr>
            <w:tcW w:w="2771" w:type="dxa"/>
            <w:tcBorders>
              <w:top w:val="single" w:sz="4" w:space="0" w:color="000000"/>
              <w:left w:val="single" w:sz="4" w:space="0" w:color="000000"/>
              <w:bottom w:val="single" w:sz="4" w:space="0" w:color="000000"/>
              <w:right w:val="single" w:sz="4" w:space="0" w:color="000000"/>
            </w:tcBorders>
            <w:noWrap/>
            <w:vAlign w:val="center"/>
          </w:tcPr>
          <w:p w:rsidR="00BB24C2" w:rsidRDefault="007F6F5A">
            <w:pPr>
              <w:widowControl/>
              <w:jc w:val="center"/>
              <w:textAlignment w:val="center"/>
              <w:rPr>
                <w:rFonts w:ascii="宋体" w:eastAsia="宋体" w:hAnsi="宋体" w:cs="宋体"/>
                <w:color w:val="000000"/>
                <w:kern w:val="0"/>
                <w:sz w:val="20"/>
                <w:szCs w:val="20"/>
                <w:lang w:bidi="ar"/>
              </w:rPr>
            </w:pPr>
            <w:proofErr w:type="gramStart"/>
            <w:r>
              <w:rPr>
                <w:rFonts w:ascii="宋体" w:eastAsia="宋体" w:hAnsi="宋体" w:cs="宋体" w:hint="eastAsia"/>
                <w:color w:val="000000"/>
                <w:kern w:val="0"/>
                <w:sz w:val="20"/>
                <w:szCs w:val="20"/>
                <w:lang w:bidi="ar"/>
              </w:rPr>
              <w:t>永钢</w:t>
            </w:r>
            <w:proofErr w:type="gramEnd"/>
          </w:p>
        </w:tc>
        <w:tc>
          <w:tcPr>
            <w:tcW w:w="1461" w:type="dxa"/>
            <w:tcBorders>
              <w:top w:val="single" w:sz="4" w:space="0" w:color="000000"/>
              <w:left w:val="single" w:sz="4" w:space="0" w:color="000000"/>
              <w:bottom w:val="single" w:sz="4" w:space="0" w:color="000000"/>
              <w:right w:val="single" w:sz="4" w:space="0" w:color="000000"/>
            </w:tcBorders>
            <w:vAlign w:val="center"/>
          </w:tcPr>
          <w:p w:rsidR="00BB24C2" w:rsidRDefault="007F6F5A">
            <w:pPr>
              <w:widowControl/>
              <w:jc w:val="center"/>
              <w:textAlignment w:val="center"/>
              <w:rPr>
                <w:rFonts w:ascii="宋体" w:eastAsia="宋体" w:hAnsi="宋体" w:cs="宋体"/>
                <w:color w:val="000000"/>
                <w:sz w:val="20"/>
                <w:szCs w:val="20"/>
                <w:highlight w:val="yellow"/>
              </w:rPr>
            </w:pPr>
            <w:r>
              <w:rPr>
                <w:rFonts w:ascii="宋体" w:eastAsia="宋体" w:hAnsi="宋体" w:cs="宋体" w:hint="eastAsia"/>
                <w:color w:val="000000"/>
                <w:kern w:val="0"/>
                <w:sz w:val="20"/>
                <w:szCs w:val="20"/>
                <w:lang w:bidi="ar"/>
              </w:rPr>
              <w:t>江苏永钢集团有限公司（总厂产品）</w:t>
            </w:r>
          </w:p>
        </w:tc>
      </w:tr>
    </w:tbl>
    <w:p w:rsidR="00BB24C2" w:rsidRDefault="00BB24C2">
      <w:pPr>
        <w:spacing w:line="360" w:lineRule="auto"/>
        <w:rPr>
          <w:sz w:val="22"/>
        </w:rPr>
      </w:pPr>
    </w:p>
    <w:p w:rsidR="00BB24C2" w:rsidRDefault="007F6F5A">
      <w:pPr>
        <w:spacing w:line="360" w:lineRule="auto"/>
        <w:rPr>
          <w:sz w:val="28"/>
          <w:szCs w:val="28"/>
        </w:rPr>
      </w:pPr>
      <w:r>
        <w:rPr>
          <w:rFonts w:hint="eastAsia"/>
          <w:sz w:val="28"/>
          <w:szCs w:val="28"/>
        </w:rPr>
        <w:t>七、其他说明</w:t>
      </w:r>
    </w:p>
    <w:p w:rsidR="00BB24C2" w:rsidRDefault="007F6F5A">
      <w:pPr>
        <w:spacing w:line="360" w:lineRule="auto"/>
        <w:ind w:firstLineChars="200" w:firstLine="440"/>
        <w:rPr>
          <w:color w:val="FF0000"/>
          <w:sz w:val="22"/>
        </w:rPr>
      </w:pPr>
      <w:r>
        <w:rPr>
          <w:rFonts w:hint="eastAsia"/>
          <w:sz w:val="22"/>
        </w:rPr>
        <w:t>1</w:t>
      </w:r>
      <w:r>
        <w:rPr>
          <w:rFonts w:hint="eastAsia"/>
          <w:sz w:val="22"/>
        </w:rPr>
        <w:t>、投标人应在认真理解和熟悉招标文件和施工图纸，经现场踏勘后，综合考虑清单中各分部分项工程包括管理费、利润、风险费、</w:t>
      </w:r>
      <w:proofErr w:type="gramStart"/>
      <w:r>
        <w:rPr>
          <w:rFonts w:hint="eastAsia"/>
          <w:sz w:val="22"/>
        </w:rPr>
        <w:t>规</w:t>
      </w:r>
      <w:proofErr w:type="gramEnd"/>
      <w:r>
        <w:rPr>
          <w:rFonts w:hint="eastAsia"/>
          <w:sz w:val="22"/>
        </w:rPr>
        <w:t>费、税金等全部费用清单报价，无论清单特征中是否描述，投标人综合单价均应包含完成本清单项目所有工作内容的费用。</w:t>
      </w:r>
    </w:p>
    <w:p w:rsidR="00BB24C2" w:rsidRDefault="007F6F5A">
      <w:pPr>
        <w:spacing w:line="360" w:lineRule="auto"/>
        <w:ind w:firstLineChars="200" w:firstLine="440"/>
        <w:rPr>
          <w:sz w:val="22"/>
        </w:rPr>
      </w:pPr>
      <w:r>
        <w:rPr>
          <w:rFonts w:hint="eastAsia"/>
          <w:sz w:val="22"/>
        </w:rPr>
        <w:t>2</w:t>
      </w:r>
      <w:r>
        <w:rPr>
          <w:rFonts w:hint="eastAsia"/>
          <w:sz w:val="22"/>
        </w:rPr>
        <w:t>、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环节中向招标人提出，招标人将在“澄清答疑”环节中答复；投标人未在“澄清答疑”环节提出的，则最终解释权归属于招标人。</w:t>
      </w:r>
    </w:p>
    <w:sectPr w:rsidR="00BB24C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38BF7C"/>
    <w:multiLevelType w:val="singleLevel"/>
    <w:tmpl w:val="2938BF7C"/>
    <w:lvl w:ilvl="0">
      <w:start w:val="2"/>
      <w:numFmt w:val="chineseCounting"/>
      <w:suff w:val="nothing"/>
      <w:lvlText w:val="%1、"/>
      <w:lvlJc w:val="left"/>
      <w:rPr>
        <w:rFonts w:hint="eastAsia"/>
      </w:rPr>
    </w:lvl>
  </w:abstractNum>
  <w:abstractNum w:abstractNumId="1" w15:restartNumberingAfterBreak="0">
    <w:nsid w:val="6EFAA5C3"/>
    <w:multiLevelType w:val="singleLevel"/>
    <w:tmpl w:val="6EFAA5C3"/>
    <w:lvl w:ilvl="0">
      <w:start w:val="1"/>
      <w:numFmt w:val="decimal"/>
      <w:suff w:val="nothing"/>
      <w:lvlText w:val="%1、"/>
      <w:lvlJc w:val="left"/>
    </w:lvl>
  </w:abstractNum>
  <w:abstractNum w:abstractNumId="2" w15:restartNumberingAfterBreak="0">
    <w:nsid w:val="709BCBC0"/>
    <w:multiLevelType w:val="singleLevel"/>
    <w:tmpl w:val="709BCBC0"/>
    <w:lvl w:ilvl="0">
      <w:start w:val="5"/>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liYTZkNGU2OTBhMzY4NWU2ZTBjMGZlY2YyYWU2NmQifQ=="/>
  </w:docVars>
  <w:rsids>
    <w:rsidRoot w:val="007216EE"/>
    <w:rsid w:val="000578D1"/>
    <w:rsid w:val="000918CE"/>
    <w:rsid w:val="000B4442"/>
    <w:rsid w:val="000E4EFC"/>
    <w:rsid w:val="000F0F71"/>
    <w:rsid w:val="00110532"/>
    <w:rsid w:val="001918E0"/>
    <w:rsid w:val="002365A9"/>
    <w:rsid w:val="002C7843"/>
    <w:rsid w:val="002E681A"/>
    <w:rsid w:val="002F4B81"/>
    <w:rsid w:val="0035412E"/>
    <w:rsid w:val="00365827"/>
    <w:rsid w:val="00394EF6"/>
    <w:rsid w:val="003E6A22"/>
    <w:rsid w:val="00403F89"/>
    <w:rsid w:val="00480D2C"/>
    <w:rsid w:val="004D0895"/>
    <w:rsid w:val="005136AA"/>
    <w:rsid w:val="0052678C"/>
    <w:rsid w:val="00531B35"/>
    <w:rsid w:val="00591850"/>
    <w:rsid w:val="00596B8C"/>
    <w:rsid w:val="005A65A1"/>
    <w:rsid w:val="005C1C94"/>
    <w:rsid w:val="00640023"/>
    <w:rsid w:val="006C1D24"/>
    <w:rsid w:val="007216EE"/>
    <w:rsid w:val="0078431F"/>
    <w:rsid w:val="007E10E0"/>
    <w:rsid w:val="007F6F5A"/>
    <w:rsid w:val="00847CE5"/>
    <w:rsid w:val="00864452"/>
    <w:rsid w:val="00876B6F"/>
    <w:rsid w:val="00917415"/>
    <w:rsid w:val="00934BB6"/>
    <w:rsid w:val="00955791"/>
    <w:rsid w:val="00965503"/>
    <w:rsid w:val="009E6462"/>
    <w:rsid w:val="00A22667"/>
    <w:rsid w:val="00AA5070"/>
    <w:rsid w:val="00AD1268"/>
    <w:rsid w:val="00AE6169"/>
    <w:rsid w:val="00AF3547"/>
    <w:rsid w:val="00BB24C2"/>
    <w:rsid w:val="00BF0684"/>
    <w:rsid w:val="00BF6039"/>
    <w:rsid w:val="00C30855"/>
    <w:rsid w:val="00CD7E5D"/>
    <w:rsid w:val="00D1538E"/>
    <w:rsid w:val="00D3387F"/>
    <w:rsid w:val="00D77557"/>
    <w:rsid w:val="00D92B20"/>
    <w:rsid w:val="00DB3AF4"/>
    <w:rsid w:val="00EE0655"/>
    <w:rsid w:val="00EF2517"/>
    <w:rsid w:val="00F54A72"/>
    <w:rsid w:val="02A502BC"/>
    <w:rsid w:val="06263349"/>
    <w:rsid w:val="0BE17791"/>
    <w:rsid w:val="14111E7F"/>
    <w:rsid w:val="206148A8"/>
    <w:rsid w:val="29577A7F"/>
    <w:rsid w:val="2E7C5476"/>
    <w:rsid w:val="34CD7383"/>
    <w:rsid w:val="3B8A4AEC"/>
    <w:rsid w:val="40AB0497"/>
    <w:rsid w:val="421B0860"/>
    <w:rsid w:val="48A9341E"/>
    <w:rsid w:val="4A0E4836"/>
    <w:rsid w:val="4C417F01"/>
    <w:rsid w:val="554A7E27"/>
    <w:rsid w:val="635F7048"/>
    <w:rsid w:val="6D4F5CFD"/>
    <w:rsid w:val="716B3CE7"/>
    <w:rsid w:val="75082C90"/>
    <w:rsid w:val="78126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0832AE2-E4D0-4AF2-88F6-1D87354BE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semiHidden/>
    <w:unhideWhenUsed/>
    <w:qFormat/>
    <w:rPr>
      <w:color w:val="0000FF"/>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20379;&#24212;&#21830;&#22522;&#26412;&#20449;&#24687;/&#20013;&#22269;&#32852;&#21512;&#27700;&#27877;&#38598;&#22242;&#26377;&#38480;&#20844;&#2149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20379;&#24212;&#21830;&#22522;&#26412;&#20449;&#24687;/&#27743;&#33487;&#40548;&#26519;&#27700;&#27877;&#26377;&#38480;&#20844;&#21496;" TargetMode="External"/><Relationship Id="rId5" Type="http://schemas.openxmlformats.org/officeDocument/2006/relationships/hyperlink" Target="&#20379;&#24212;&#21830;&#22522;&#26412;&#20449;&#24687;\&#23433;&#24509;&#28023;&#34746;&#27700;&#27877;&#32929;&#20221;&#26377;&#38480;&#20844;&#2149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292</Words>
  <Characters>1667</Characters>
  <Application>Microsoft Office Word</Application>
  <DocSecurity>0</DocSecurity>
  <Lines>13</Lines>
  <Paragraphs>3</Paragraphs>
  <ScaleCrop>false</ScaleCrop>
  <Company/>
  <LinksUpToDate>false</LinksUpToDate>
  <CharactersWithSpaces>1956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acer</cp:lastModifiedBy>
  <cp:revision>39</cp:revision>
  <dcterms:created xsi:type="dcterms:W3CDTF">2021-05-17T06:25:00Z</dcterms:created>
  <dcterms:modified xsi:type="dcterms:W3CDTF">2024-04-26T03:06:00Z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ED095ADC6991455ABF8CFDE5A0AA0E6E</vt:lpwstr>
  </property>
</Properties>
</file>