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360" w:lineRule="auto"/>
        <w:jc w:val="center"/>
        <w:rPr>
          <w:b/>
          <w:sz w:val="32"/>
          <w:szCs w:val="32"/>
        </w:rPr>
      </w:pPr>
      <w:r>
        <w:rPr>
          <w:rFonts w:hint="eastAsia"/>
          <w:b/>
          <w:sz w:val="32"/>
          <w:szCs w:val="32"/>
        </w:rPr>
        <w:t>招标工程量清单编制说明</w:t>
      </w:r>
    </w:p>
    <w:p>
      <w:pPr>
        <w:keepNext w:val="0"/>
        <w:keepLines w:val="0"/>
        <w:pageBreakBefore w:val="0"/>
        <w:kinsoku/>
        <w:wordWrap/>
        <w:overflowPunct/>
        <w:topLinePunct w:val="0"/>
        <w:bidi w:val="0"/>
        <w:snapToGrid/>
        <w:spacing w:line="360" w:lineRule="auto"/>
        <w:ind w:firstLine="562" w:firstLineChars="200"/>
        <w:rPr>
          <w:rFonts w:hint="eastAsia" w:asciiTheme="minorEastAsia" w:hAnsiTheme="minorEastAsia"/>
          <w:color w:val="FF0000"/>
          <w:sz w:val="28"/>
          <w:szCs w:val="28"/>
        </w:rPr>
      </w:pPr>
      <w:r>
        <w:rPr>
          <w:rFonts w:hint="eastAsia" w:asciiTheme="minorEastAsia" w:hAnsiTheme="minorEastAsia"/>
          <w:b/>
          <w:sz w:val="28"/>
          <w:szCs w:val="28"/>
        </w:rPr>
        <w:t>一、工程概况</w:t>
      </w:r>
    </w:p>
    <w:p>
      <w:pPr>
        <w:keepNext w:val="0"/>
        <w:keepLines w:val="0"/>
        <w:pageBreakBefore w:val="0"/>
        <w:kinsoku/>
        <w:wordWrap/>
        <w:overflowPunct/>
        <w:topLinePunct w:val="0"/>
        <w:bidi w:val="0"/>
        <w:snapToGrid/>
        <w:spacing w:line="360" w:lineRule="auto"/>
        <w:ind w:firstLine="560" w:firstLineChars="200"/>
        <w:rPr>
          <w:sz w:val="28"/>
          <w:szCs w:val="28"/>
          <w:highlight w:val="yellow"/>
        </w:rPr>
      </w:pPr>
      <w:r>
        <w:rPr>
          <w:rFonts w:hint="eastAsia" w:ascii="宋体" w:hAnsi="宋体"/>
          <w:sz w:val="28"/>
          <w:szCs w:val="28"/>
        </w:rPr>
        <w:t>本项目为</w:t>
      </w:r>
      <w:r>
        <w:rPr>
          <w:rFonts w:hint="eastAsia" w:ascii="宋体" w:hAnsi="宋体" w:cs="Arial"/>
          <w:sz w:val="28"/>
          <w:szCs w:val="28"/>
        </w:rPr>
        <w:t>南大鼓楼校区南园1舍乳胶漆出新工程。</w:t>
      </w:r>
      <w:r>
        <w:rPr>
          <w:rFonts w:hint="eastAsia" w:ascii="宋体" w:hAnsi="宋体"/>
          <w:sz w:val="28"/>
          <w:szCs w:val="28"/>
        </w:rPr>
        <w:t>项目位于南京大学</w:t>
      </w:r>
      <w:r>
        <w:rPr>
          <w:rFonts w:hint="eastAsia" w:ascii="宋体" w:hAnsi="宋体"/>
          <w:sz w:val="28"/>
          <w:szCs w:val="28"/>
          <w:lang w:eastAsia="zh-CN"/>
        </w:rPr>
        <w:t>鼓楼</w:t>
      </w:r>
      <w:r>
        <w:rPr>
          <w:rFonts w:hint="eastAsia" w:ascii="宋体" w:hAnsi="宋体"/>
          <w:sz w:val="28"/>
          <w:szCs w:val="28"/>
        </w:rPr>
        <w:t>校区。工程项目种类为宿舍，工程建设性质为改建</w:t>
      </w:r>
      <w:r>
        <w:rPr>
          <w:rFonts w:hint="eastAsia" w:ascii="宋体" w:hAnsi="宋体"/>
          <w:sz w:val="28"/>
          <w:szCs w:val="28"/>
          <w:lang w:eastAsia="zh-CN"/>
        </w:rPr>
        <w:t>工程</w:t>
      </w:r>
      <w:r>
        <w:rPr>
          <w:rFonts w:hint="eastAsia" w:ascii="宋体" w:hAnsi="宋体"/>
          <w:sz w:val="28"/>
          <w:szCs w:val="28"/>
        </w:rPr>
        <w:t>。</w:t>
      </w:r>
    </w:p>
    <w:p>
      <w:pPr>
        <w:keepNext w:val="0"/>
        <w:keepLines w:val="0"/>
        <w:pageBreakBefore w:val="0"/>
        <w:kinsoku/>
        <w:wordWrap/>
        <w:overflowPunct/>
        <w:topLinePunct w:val="0"/>
        <w:bidi w:val="0"/>
        <w:snapToGrid/>
        <w:spacing w:line="360" w:lineRule="auto"/>
        <w:ind w:firstLine="562" w:firstLineChars="200"/>
        <w:rPr>
          <w:rFonts w:asciiTheme="minorEastAsia" w:hAnsiTheme="minorEastAsia"/>
          <w:b/>
          <w:sz w:val="28"/>
          <w:szCs w:val="28"/>
        </w:rPr>
      </w:pPr>
      <w:r>
        <w:rPr>
          <w:rFonts w:hint="eastAsia" w:asciiTheme="minorEastAsia" w:hAnsiTheme="minorEastAsia"/>
          <w:b/>
          <w:sz w:val="28"/>
          <w:szCs w:val="28"/>
        </w:rPr>
        <w:t>二、工程招标和分包范围</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color w:val="FF0000"/>
          <w:sz w:val="28"/>
          <w:szCs w:val="28"/>
        </w:rPr>
      </w:pPr>
      <w:r>
        <w:rPr>
          <w:rFonts w:hint="eastAsia"/>
          <w:sz w:val="28"/>
          <w:szCs w:val="28"/>
        </w:rPr>
        <w:t>本次改造内容主要包括拆除、</w:t>
      </w:r>
      <w:r>
        <w:rPr>
          <w:rFonts w:hint="eastAsia"/>
          <w:sz w:val="28"/>
          <w:szCs w:val="28"/>
          <w:lang w:eastAsia="zh-CN"/>
        </w:rPr>
        <w:t>内外墙及顶面乳胶漆出新</w:t>
      </w:r>
      <w:r>
        <w:rPr>
          <w:rFonts w:hint="eastAsia"/>
          <w:sz w:val="28"/>
          <w:szCs w:val="28"/>
        </w:rPr>
        <w:t>等。</w:t>
      </w:r>
    </w:p>
    <w:p>
      <w:pPr>
        <w:keepNext w:val="0"/>
        <w:keepLines w:val="0"/>
        <w:pageBreakBefore w:val="0"/>
        <w:kinsoku/>
        <w:wordWrap/>
        <w:overflowPunct/>
        <w:topLinePunct w:val="0"/>
        <w:bidi w:val="0"/>
        <w:snapToGrid/>
        <w:spacing w:line="360" w:lineRule="auto"/>
        <w:ind w:firstLine="562" w:firstLineChars="200"/>
        <w:rPr>
          <w:rFonts w:asciiTheme="minorEastAsia" w:hAnsiTheme="minorEastAsia"/>
          <w:sz w:val="28"/>
          <w:szCs w:val="28"/>
        </w:rPr>
      </w:pPr>
      <w:r>
        <w:rPr>
          <w:rFonts w:hint="eastAsia" w:asciiTheme="minorEastAsia" w:hAnsiTheme="minorEastAsia"/>
          <w:b/>
          <w:sz w:val="28"/>
          <w:szCs w:val="28"/>
        </w:rPr>
        <w:t>三、编制依据</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计量规范：</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eastAsiaTheme="minorEastAsia"/>
          <w:sz w:val="28"/>
          <w:szCs w:val="28"/>
          <w:lang w:eastAsia="zh-CN"/>
        </w:rPr>
      </w:pPr>
      <w:r>
        <w:rPr>
          <w:rFonts w:hint="eastAsia" w:asciiTheme="minorEastAsia" w:hAnsiTheme="minorEastAsia"/>
          <w:sz w:val="28"/>
          <w:szCs w:val="28"/>
        </w:rPr>
        <w:t>①《建设工程工程量清单计价规范》（GB50500-2013）</w:t>
      </w:r>
      <w:r>
        <w:rPr>
          <w:rFonts w:hint="eastAsia" w:asciiTheme="minorEastAsia" w:hAnsiTheme="minorEastAsia"/>
          <w:sz w:val="28"/>
          <w:szCs w:val="28"/>
          <w:lang w:eastAsia="zh-CN"/>
        </w:rPr>
        <w:t>；</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eastAsiaTheme="minorEastAsia"/>
          <w:sz w:val="28"/>
          <w:szCs w:val="28"/>
          <w:lang w:eastAsia="zh-CN"/>
        </w:rPr>
      </w:pPr>
      <w:r>
        <w:rPr>
          <w:rFonts w:hint="eastAsia" w:asciiTheme="minorEastAsia" w:hAnsiTheme="minorEastAsia"/>
          <w:sz w:val="28"/>
          <w:szCs w:val="28"/>
        </w:rPr>
        <w:t>②《房屋建筑与装饰工程工程量计算规范》（GB50854-2013）</w:t>
      </w:r>
      <w:r>
        <w:rPr>
          <w:rFonts w:hint="eastAsia" w:asciiTheme="minorEastAsia" w:hAnsiTheme="minorEastAsia"/>
          <w:sz w:val="28"/>
          <w:szCs w:val="28"/>
          <w:lang w:eastAsia="zh-CN"/>
        </w:rPr>
        <w:t>；</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eastAsiaTheme="minorEastAsia"/>
          <w:sz w:val="28"/>
          <w:szCs w:val="28"/>
          <w:lang w:eastAsia="zh-CN"/>
        </w:rPr>
      </w:pPr>
      <w:r>
        <w:rPr>
          <w:rFonts w:hint="eastAsia" w:asciiTheme="minorEastAsia" w:hAnsiTheme="minorEastAsia"/>
          <w:sz w:val="28"/>
          <w:szCs w:val="28"/>
        </w:rPr>
        <w:t>③《江苏省修缮建筑工程计价定额》（2009）</w:t>
      </w:r>
      <w:r>
        <w:rPr>
          <w:rFonts w:hint="eastAsia" w:asciiTheme="minorEastAsia" w:hAnsiTheme="minorEastAsia"/>
          <w:sz w:val="28"/>
          <w:szCs w:val="28"/>
          <w:lang w:eastAsia="zh-CN"/>
        </w:rPr>
        <w:t>；</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lang w:eastAsia="zh-CN"/>
        </w:rPr>
      </w:pPr>
      <w:r>
        <w:rPr>
          <w:rFonts w:hint="eastAsia" w:asciiTheme="minorEastAsia" w:hAnsiTheme="minorEastAsia"/>
          <w:sz w:val="28"/>
          <w:szCs w:val="28"/>
        </w:rPr>
        <w:t>④《江苏省建筑与装饰工程计价定额》（2014）</w:t>
      </w:r>
      <w:r>
        <w:rPr>
          <w:rFonts w:hint="eastAsia" w:asciiTheme="minorEastAsia" w:hAnsiTheme="minorEastAsia"/>
          <w:sz w:val="28"/>
          <w:szCs w:val="28"/>
          <w:lang w:eastAsia="zh-CN"/>
        </w:rPr>
        <w:t>；</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eastAsiaTheme="minorEastAsia"/>
          <w:sz w:val="28"/>
          <w:szCs w:val="28"/>
          <w:lang w:eastAsia="zh-CN"/>
        </w:rPr>
      </w:pPr>
      <w:r>
        <w:rPr>
          <w:rFonts w:hint="eastAsia" w:asciiTheme="minorEastAsia" w:hAnsiTheme="minorEastAsia"/>
          <w:sz w:val="28"/>
          <w:szCs w:val="28"/>
        </w:rPr>
        <w:t>⑤现行相关补充或调整文件</w:t>
      </w:r>
      <w:r>
        <w:rPr>
          <w:rFonts w:hint="eastAsia" w:asciiTheme="minorEastAsia" w:hAnsiTheme="minorEastAsia"/>
          <w:sz w:val="28"/>
          <w:szCs w:val="28"/>
          <w:lang w:eastAsia="zh-CN"/>
        </w:rPr>
        <w:t>。</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⑥与本工程项目有关的标准、施工规范与验收规范。</w:t>
      </w:r>
    </w:p>
    <w:p>
      <w:pPr>
        <w:keepNext w:val="0"/>
        <w:keepLines w:val="0"/>
        <w:pageBreakBefore w:val="0"/>
        <w:kinsoku/>
        <w:wordWrap/>
        <w:overflowPunct/>
        <w:topLinePunct w:val="0"/>
        <w:bidi w:val="0"/>
        <w:snapToGrid/>
        <w:spacing w:line="360" w:lineRule="auto"/>
        <w:ind w:firstLine="562" w:firstLineChars="200"/>
        <w:rPr>
          <w:rFonts w:asciiTheme="minorEastAsia" w:hAnsiTheme="minorEastAsia"/>
          <w:sz w:val="28"/>
          <w:szCs w:val="28"/>
        </w:rPr>
      </w:pPr>
      <w:r>
        <w:rPr>
          <w:rFonts w:hint="eastAsia" w:asciiTheme="minorEastAsia" w:hAnsiTheme="minorEastAsia"/>
          <w:b/>
          <w:sz w:val="28"/>
          <w:szCs w:val="28"/>
        </w:rPr>
        <w:t>四、取费标准</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lang w:eastAsia="zh-CN"/>
        </w:rPr>
      </w:pPr>
      <w:r>
        <w:rPr>
          <w:rFonts w:hint="eastAsia" w:asciiTheme="minorEastAsia" w:hAnsiTheme="minorEastAsia"/>
          <w:sz w:val="28"/>
          <w:szCs w:val="28"/>
        </w:rPr>
        <w:t>1、《江苏省建设工程费用定额》（2014）</w:t>
      </w:r>
      <w:r>
        <w:rPr>
          <w:rFonts w:hint="eastAsia" w:asciiTheme="minorEastAsia" w:hAnsiTheme="minorEastAsia"/>
          <w:sz w:val="28"/>
          <w:szCs w:val="28"/>
          <w:lang w:eastAsia="zh-CN"/>
        </w:rPr>
        <w:t>。</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2、《省住房城乡建设厅关于建筑业实施营改增后江苏省建设工程计价依据调整的通知》 苏建价（2016）154号文及相关附件。</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3、《省住房城乡建设厅关于建筑业增值税计价政策调整的通知》苏建函价（2019）178号文。</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4、《省住房城乡建设厅关于建筑工人实名制费用计取方法的公告》〔2019〕第19号</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5、依据《建设工程计价设备材料划分标准》（GB/T50531-2009）划分的设备以设备形式计入且不计取总价措施费及规费。</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6、安全文明施工措施费计取基本费和扬尘污染防治增加费。</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7、政策性文件及报价参考执行投标截止日前省市建委造价有关文件，投标截止日后的省市建委造价文件不予执行。</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lang w:val="en-US" w:eastAsia="zh-CN"/>
        </w:rPr>
        <w:t>8</w:t>
      </w:r>
      <w:r>
        <w:rPr>
          <w:rFonts w:hint="eastAsia" w:asciiTheme="minorEastAsia" w:hAnsiTheme="minorEastAsia"/>
          <w:sz w:val="28"/>
          <w:szCs w:val="28"/>
        </w:rPr>
        <w:t>、人工工资参考江苏省建设工程人工工资指导价自主报价，其它费用按照省市建委发布的有关文件及政策规定等执行，报价参考执行投标截止日前省建设厅、市建委造价有关文件。</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lang w:val="en-US" w:eastAsia="zh-CN"/>
        </w:rPr>
        <w:t>9</w:t>
      </w:r>
      <w:r>
        <w:rPr>
          <w:rFonts w:hint="eastAsia" w:asciiTheme="minorEastAsia" w:hAnsiTheme="minorEastAsia"/>
          <w:sz w:val="28"/>
          <w:szCs w:val="28"/>
        </w:rPr>
        <w:t>、暂列金额及暂估价：</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lang w:val="en-US" w:eastAsia="zh-CN"/>
        </w:rPr>
      </w:pPr>
      <w:r>
        <w:rPr>
          <w:rFonts w:hint="eastAsia" w:asciiTheme="minorEastAsia" w:hAnsiTheme="minorEastAsia"/>
          <w:sz w:val="28"/>
          <w:szCs w:val="28"/>
        </w:rPr>
        <w:t>（1）暂列金额：</w:t>
      </w:r>
      <w:r>
        <w:rPr>
          <w:rFonts w:hint="eastAsia" w:asciiTheme="minorEastAsia" w:hAnsiTheme="minorEastAsia"/>
          <w:b/>
          <w:bCs/>
          <w:sz w:val="28"/>
          <w:szCs w:val="28"/>
          <w:lang w:val="en-US" w:eastAsia="zh-CN"/>
        </w:rPr>
        <w:t>20000.00</w:t>
      </w:r>
      <w:r>
        <w:rPr>
          <w:rFonts w:hint="eastAsia" w:asciiTheme="minorEastAsia" w:hAnsiTheme="minorEastAsia"/>
          <w:sz w:val="28"/>
          <w:szCs w:val="28"/>
          <w:lang w:val="en-US" w:eastAsia="zh-CN"/>
        </w:rPr>
        <w:t>元。</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（2）暂估价：无</w:t>
      </w:r>
      <w:bookmarkStart w:id="0" w:name="_GoBack"/>
      <w:bookmarkEnd w:id="0"/>
      <w:r>
        <w:rPr>
          <w:rFonts w:hint="eastAsia" w:asciiTheme="minorEastAsia" w:hAnsiTheme="minorEastAsia"/>
          <w:sz w:val="28"/>
          <w:szCs w:val="28"/>
        </w:rPr>
        <w:t>。</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五、图纸及工程量计算中的相关说明</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1、通用部分</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w:t>
      </w:r>
      <w:r>
        <w:rPr>
          <w:rFonts w:hint="eastAsia" w:asciiTheme="minorEastAsia" w:hAnsiTheme="minorEastAsia"/>
          <w:sz w:val="28"/>
          <w:szCs w:val="28"/>
          <w:lang w:val="en-US" w:eastAsia="zh-CN"/>
        </w:rPr>
        <w:t>2</w:t>
      </w:r>
      <w:r>
        <w:rPr>
          <w:rFonts w:hint="eastAsia" w:asciiTheme="minorEastAsia" w:hAnsiTheme="minorEastAsia"/>
          <w:sz w:val="28"/>
          <w:szCs w:val="28"/>
        </w:rPr>
        <w:t>）投标人在投标报价时结合现场实际情况考虑在学校施工等因素，须施工区域全部围挡（包括顶部），全封闭施工，并做好安全防护，结算时不再调整。</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cstheme="minorEastAsia"/>
          <w:sz w:val="28"/>
          <w:szCs w:val="28"/>
        </w:rPr>
      </w:pPr>
      <w:r>
        <w:rPr>
          <w:rFonts w:hint="eastAsia" w:asciiTheme="minorEastAsia" w:hAnsiTheme="minorEastAsia"/>
          <w:sz w:val="28"/>
          <w:szCs w:val="28"/>
        </w:rPr>
        <w:t>（</w:t>
      </w:r>
      <w:r>
        <w:rPr>
          <w:rFonts w:hint="eastAsia" w:asciiTheme="minorEastAsia" w:hAnsiTheme="minorEastAsia"/>
          <w:sz w:val="28"/>
          <w:szCs w:val="28"/>
          <w:lang w:val="en-US" w:eastAsia="zh-CN"/>
        </w:rPr>
        <w:t>3</w:t>
      </w:r>
      <w:r>
        <w:rPr>
          <w:rFonts w:hint="eastAsia" w:asciiTheme="minorEastAsia" w:hAnsiTheme="minorEastAsia"/>
          <w:sz w:val="28"/>
          <w:szCs w:val="28"/>
        </w:rPr>
        <w:t>）本工程所需报验、报检费用由投标人自</w:t>
      </w:r>
      <w:r>
        <w:rPr>
          <w:rFonts w:hint="eastAsia" w:asciiTheme="minorEastAsia" w:hAnsiTheme="minorEastAsia" w:cstheme="minorEastAsia"/>
          <w:sz w:val="28"/>
          <w:szCs w:val="28"/>
        </w:rPr>
        <w:t>行考虑计入到投标报价中。</w:t>
      </w:r>
    </w:p>
    <w:p>
      <w:pPr>
        <w:keepNext w:val="0"/>
        <w:keepLines w:val="0"/>
        <w:pageBreakBefore w:val="0"/>
        <w:tabs>
          <w:tab w:val="left" w:pos="426"/>
        </w:tabs>
        <w:kinsoku/>
        <w:wordWrap/>
        <w:overflowPunct/>
        <w:topLinePunct w:val="0"/>
        <w:autoSpaceDE w:val="0"/>
        <w:autoSpaceDN w:val="0"/>
        <w:bidi w:val="0"/>
        <w:adjustRightInd w:val="0"/>
        <w:snapToGrid/>
        <w:spacing w:line="360" w:lineRule="auto"/>
        <w:ind w:firstLine="560" w:firstLineChars="200"/>
        <w:jc w:val="left"/>
        <w:rPr>
          <w:rFonts w:asciiTheme="minorEastAsia" w:hAnsiTheme="minorEastAsia" w:cstheme="minorEastAsia"/>
          <w:kern w:val="0"/>
          <w:sz w:val="28"/>
          <w:szCs w:val="28"/>
          <w:lang w:val="zh-CN"/>
        </w:rPr>
      </w:pPr>
      <w:r>
        <w:rPr>
          <w:rFonts w:hint="eastAsia" w:asciiTheme="minorEastAsia" w:hAnsiTheme="minorEastAsia" w:cstheme="minorEastAsia"/>
          <w:kern w:val="0"/>
          <w:sz w:val="28"/>
          <w:szCs w:val="28"/>
        </w:rPr>
        <w:t>（</w:t>
      </w:r>
      <w:r>
        <w:rPr>
          <w:rFonts w:hint="eastAsia" w:asciiTheme="minorEastAsia" w:hAnsiTheme="minorEastAsia" w:cstheme="minorEastAsia"/>
          <w:kern w:val="0"/>
          <w:sz w:val="28"/>
          <w:szCs w:val="28"/>
          <w:lang w:val="en-US" w:eastAsia="zh-CN"/>
        </w:rPr>
        <w:t>4</w:t>
      </w:r>
      <w:r>
        <w:rPr>
          <w:rFonts w:hint="eastAsia" w:asciiTheme="minorEastAsia" w:hAnsiTheme="minorEastAsia" w:cstheme="minorEastAsia"/>
          <w:kern w:val="0"/>
          <w:sz w:val="28"/>
          <w:szCs w:val="28"/>
        </w:rPr>
        <w:t>）</w:t>
      </w:r>
      <w:r>
        <w:rPr>
          <w:rFonts w:hint="eastAsia" w:asciiTheme="minorEastAsia" w:hAnsiTheme="minorEastAsia" w:cstheme="minorEastAsia"/>
          <w:kern w:val="0"/>
          <w:sz w:val="28"/>
          <w:szCs w:val="28"/>
          <w:lang w:val="zh-CN"/>
        </w:rPr>
        <w:t>措施费项目投标单位可自行增添内容，自行报价，未计放部分按优惠考虑，结算时不再调整，投标人在报价中应充分考虑所涉及的各项措施费及风险因素后再进行报价，</w:t>
      </w:r>
      <w:r>
        <w:rPr>
          <w:rFonts w:hint="eastAsia" w:asciiTheme="minorEastAsia" w:hAnsiTheme="minorEastAsia" w:cstheme="minorEastAsia"/>
          <w:bCs/>
          <w:sz w:val="28"/>
          <w:szCs w:val="28"/>
        </w:rPr>
        <w:t>不可竞争费按规定报价。</w:t>
      </w:r>
    </w:p>
    <w:p>
      <w:pPr>
        <w:keepNext w:val="0"/>
        <w:keepLines w:val="0"/>
        <w:pageBreakBefore w:val="0"/>
        <w:tabs>
          <w:tab w:val="left" w:pos="426"/>
        </w:tabs>
        <w:kinsoku/>
        <w:wordWrap/>
        <w:overflowPunct/>
        <w:topLinePunct w:val="0"/>
        <w:autoSpaceDE w:val="0"/>
        <w:autoSpaceDN w:val="0"/>
        <w:bidi w:val="0"/>
        <w:adjustRightInd w:val="0"/>
        <w:snapToGrid/>
        <w:spacing w:line="360" w:lineRule="auto"/>
        <w:ind w:firstLine="560" w:firstLineChars="200"/>
        <w:jc w:val="left"/>
        <w:rPr>
          <w:rFonts w:asciiTheme="minorEastAsia" w:hAnsiTheme="minorEastAsia" w:cstheme="minorEastAsia"/>
          <w:kern w:val="0"/>
          <w:sz w:val="28"/>
          <w:szCs w:val="28"/>
          <w:lang w:val="zh-CN"/>
        </w:rPr>
      </w:pPr>
      <w:r>
        <w:rPr>
          <w:rFonts w:hint="eastAsia" w:asciiTheme="minorEastAsia" w:hAnsiTheme="minorEastAsia" w:cstheme="minorEastAsia"/>
          <w:kern w:val="0"/>
          <w:sz w:val="28"/>
          <w:szCs w:val="28"/>
          <w:lang w:val="zh-CN"/>
        </w:rPr>
        <w:t>（</w:t>
      </w:r>
      <w:r>
        <w:rPr>
          <w:rFonts w:hint="eastAsia" w:asciiTheme="minorEastAsia" w:hAnsiTheme="minorEastAsia" w:cstheme="minorEastAsia"/>
          <w:kern w:val="0"/>
          <w:sz w:val="28"/>
          <w:szCs w:val="28"/>
          <w:lang w:val="en-US" w:eastAsia="zh-CN"/>
        </w:rPr>
        <w:t>5</w:t>
      </w:r>
      <w:r>
        <w:rPr>
          <w:rFonts w:hint="eastAsia" w:asciiTheme="minorEastAsia" w:hAnsiTheme="minorEastAsia" w:cstheme="minorEastAsia"/>
          <w:kern w:val="0"/>
          <w:sz w:val="28"/>
          <w:szCs w:val="28"/>
          <w:lang w:val="zh-CN"/>
        </w:rPr>
        <w:t>）施工现场、交通运输情况及自然地理条件由投标人自行现场勘察，应充分考虑本工程场地现状的特点，可能对工程施工造成的影响并由此增加的费用等，做出考量一并考虑在投标报价中。</w:t>
      </w:r>
    </w:p>
    <w:p>
      <w:pPr>
        <w:keepNext w:val="0"/>
        <w:keepLines w:val="0"/>
        <w:pageBreakBefore w:val="0"/>
        <w:tabs>
          <w:tab w:val="left" w:pos="284"/>
          <w:tab w:val="left" w:pos="426"/>
        </w:tabs>
        <w:kinsoku/>
        <w:wordWrap/>
        <w:overflowPunct/>
        <w:topLinePunct w:val="0"/>
        <w:autoSpaceDE w:val="0"/>
        <w:autoSpaceDN w:val="0"/>
        <w:bidi w:val="0"/>
        <w:adjustRightInd w:val="0"/>
        <w:snapToGrid/>
        <w:spacing w:line="360" w:lineRule="auto"/>
        <w:ind w:firstLine="560" w:firstLineChars="200"/>
        <w:jc w:val="left"/>
        <w:rPr>
          <w:rFonts w:asciiTheme="minorEastAsia" w:hAnsiTheme="minorEastAsia" w:cstheme="minorEastAsia"/>
          <w:kern w:val="0"/>
          <w:sz w:val="28"/>
          <w:szCs w:val="28"/>
          <w:lang w:val="zh-CN"/>
        </w:rPr>
      </w:pPr>
      <w:r>
        <w:rPr>
          <w:rFonts w:hint="eastAsia" w:asciiTheme="minorEastAsia" w:hAnsiTheme="minorEastAsia" w:cstheme="minorEastAsia"/>
          <w:kern w:val="0"/>
          <w:sz w:val="28"/>
          <w:szCs w:val="28"/>
          <w:lang w:val="zh-CN"/>
        </w:rPr>
        <w:t>（</w:t>
      </w:r>
      <w:r>
        <w:rPr>
          <w:rFonts w:hint="eastAsia" w:asciiTheme="minorEastAsia" w:hAnsiTheme="minorEastAsia" w:cstheme="minorEastAsia"/>
          <w:kern w:val="0"/>
          <w:sz w:val="28"/>
          <w:szCs w:val="28"/>
          <w:lang w:val="en-US" w:eastAsia="zh-CN"/>
        </w:rPr>
        <w:t>6</w:t>
      </w:r>
      <w:r>
        <w:rPr>
          <w:rFonts w:hint="eastAsia" w:asciiTheme="minorEastAsia" w:hAnsiTheme="minorEastAsia" w:cstheme="minorEastAsia"/>
          <w:kern w:val="0"/>
          <w:sz w:val="28"/>
          <w:szCs w:val="28"/>
          <w:lang w:val="zh-CN"/>
        </w:rPr>
        <w:t>）清单中项目特征描述不详处，以图纸为准，投标报价时应考虑图纸所示施工要求等一切费用。</w:t>
      </w:r>
    </w:p>
    <w:p>
      <w:pPr>
        <w:keepNext w:val="0"/>
        <w:keepLines w:val="0"/>
        <w:pageBreakBefore w:val="0"/>
        <w:tabs>
          <w:tab w:val="left" w:pos="709"/>
        </w:tabs>
        <w:kinsoku/>
        <w:wordWrap/>
        <w:overflowPunct/>
        <w:topLinePunct w:val="0"/>
        <w:bidi w:val="0"/>
        <w:snapToGrid/>
        <w:spacing w:line="360" w:lineRule="auto"/>
        <w:ind w:firstLine="560" w:firstLineChars="200"/>
        <w:rPr>
          <w:rFonts w:asciiTheme="minorEastAsia" w:hAnsiTheme="minorEastAsia" w:cstheme="minorEastAsia"/>
          <w:kern w:val="0"/>
          <w:sz w:val="28"/>
          <w:szCs w:val="28"/>
          <w:lang w:val="zh-CN"/>
        </w:rPr>
      </w:pPr>
      <w:r>
        <w:rPr>
          <w:rFonts w:hint="eastAsia" w:asciiTheme="minorEastAsia" w:hAnsiTheme="minorEastAsia" w:cstheme="minorEastAsia"/>
          <w:kern w:val="0"/>
          <w:sz w:val="28"/>
          <w:szCs w:val="28"/>
          <w:lang w:val="zh-CN"/>
        </w:rPr>
        <w:t>（</w:t>
      </w:r>
      <w:r>
        <w:rPr>
          <w:rFonts w:hint="eastAsia" w:asciiTheme="minorEastAsia" w:hAnsiTheme="minorEastAsia" w:cstheme="minorEastAsia"/>
          <w:kern w:val="0"/>
          <w:sz w:val="28"/>
          <w:szCs w:val="28"/>
          <w:lang w:val="en-US" w:eastAsia="zh-CN"/>
        </w:rPr>
        <w:t>7</w:t>
      </w:r>
      <w:r>
        <w:rPr>
          <w:rFonts w:hint="eastAsia" w:asciiTheme="minorEastAsia" w:hAnsiTheme="minorEastAsia" w:cstheme="minorEastAsia"/>
          <w:kern w:val="0"/>
          <w:sz w:val="28"/>
          <w:szCs w:val="28"/>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keepNext w:val="0"/>
        <w:keepLines w:val="0"/>
        <w:pageBreakBefore w:val="0"/>
        <w:tabs>
          <w:tab w:val="left" w:pos="1067"/>
        </w:tabs>
        <w:kinsoku/>
        <w:wordWrap/>
        <w:overflowPunct/>
        <w:topLinePunct w:val="0"/>
        <w:bidi w:val="0"/>
        <w:snapToGrid/>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kern w:val="0"/>
          <w:sz w:val="28"/>
          <w:szCs w:val="28"/>
          <w:lang w:val="zh-CN"/>
        </w:rPr>
        <w:t>（</w:t>
      </w:r>
      <w:r>
        <w:rPr>
          <w:rFonts w:hint="eastAsia" w:asciiTheme="minorEastAsia" w:hAnsiTheme="minorEastAsia" w:cstheme="minorEastAsia"/>
          <w:kern w:val="0"/>
          <w:sz w:val="28"/>
          <w:szCs w:val="28"/>
          <w:lang w:val="en-US" w:eastAsia="zh-CN"/>
        </w:rPr>
        <w:t>8</w:t>
      </w:r>
      <w:r>
        <w:rPr>
          <w:rFonts w:hint="eastAsia" w:asciiTheme="minorEastAsia" w:hAnsiTheme="minorEastAsia" w:cstheme="minorEastAsia"/>
          <w:kern w:val="0"/>
          <w:sz w:val="28"/>
          <w:szCs w:val="28"/>
          <w:lang w:val="zh-CN"/>
        </w:rPr>
        <w:t>）本次招标要求投标人在投标时根据招标人提供的主要材料推荐品牌和产品系列，明确投标所选的厂家品牌产品（主要材料品牌和产品系列推荐表附后）。</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w:t>
      </w:r>
      <w:r>
        <w:rPr>
          <w:rFonts w:hint="eastAsia" w:asciiTheme="minorEastAsia" w:hAnsiTheme="minorEastAsia" w:cstheme="minorEastAsia"/>
          <w:sz w:val="28"/>
          <w:szCs w:val="28"/>
          <w:lang w:val="en-US" w:eastAsia="zh-CN"/>
        </w:rPr>
        <w:t>9</w:t>
      </w:r>
      <w:r>
        <w:rPr>
          <w:rFonts w:hint="eastAsia" w:asciiTheme="minorEastAsia" w:hAnsiTheme="minorEastAsia" w:cstheme="minorEastAsia"/>
          <w:sz w:val="28"/>
          <w:szCs w:val="28"/>
        </w:rPr>
        <w:t>）工地现场应严格执行《南京市扬尘污染防治管理办法》的相关法律、法规，费用由投标人报价时自行考虑。</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w:t>
      </w:r>
      <w:r>
        <w:rPr>
          <w:rFonts w:hint="eastAsia" w:asciiTheme="minorEastAsia" w:hAnsiTheme="minorEastAsia" w:cstheme="minorEastAsia"/>
          <w:sz w:val="28"/>
          <w:szCs w:val="28"/>
          <w:lang w:val="en-US" w:eastAsia="zh-CN"/>
        </w:rPr>
        <w:t>10</w:t>
      </w:r>
      <w:r>
        <w:rPr>
          <w:rFonts w:hint="eastAsia" w:asciiTheme="minorEastAsia" w:hAnsiTheme="minorEastAsia" w:cstheme="minorEastAsia"/>
          <w:sz w:val="28"/>
          <w:szCs w:val="28"/>
        </w:rPr>
        <w:t>）施工机械进退场及进退场所必须的临时道路费、特殊条件施工增加费、材料运输及堆放等应由投标人充分勘查现场，综合考虑，费用含在投标报价中。</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w:t>
      </w: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）本工程施工外部协调工作由投标人负责，投标人应充分考虑周边地域情况，并将此费用考虑在投标报价中，结算时发包人不再为此增加费用。</w:t>
      </w:r>
    </w:p>
    <w:p>
      <w:pPr>
        <w:keepNext w:val="0"/>
        <w:keepLines w:val="0"/>
        <w:pageBreakBefore w:val="0"/>
        <w:kinsoku/>
        <w:wordWrap/>
        <w:overflowPunct/>
        <w:topLinePunct w:val="0"/>
        <w:bidi w:val="0"/>
        <w:snapToGrid/>
        <w:spacing w:line="360" w:lineRule="auto"/>
        <w:ind w:firstLine="562" w:firstLineChars="200"/>
        <w:rPr>
          <w:rFonts w:asciiTheme="minorEastAsia" w:hAnsiTheme="minorEastAsia"/>
          <w:b/>
          <w:sz w:val="28"/>
          <w:szCs w:val="28"/>
        </w:rPr>
      </w:pPr>
      <w:r>
        <w:rPr>
          <w:rFonts w:hint="eastAsia" w:asciiTheme="minorEastAsia" w:hAnsiTheme="minorEastAsia"/>
          <w:b/>
          <w:sz w:val="28"/>
          <w:szCs w:val="28"/>
        </w:rPr>
        <w:t>六、主要材料设备</w:t>
      </w:r>
    </w:p>
    <w:p>
      <w:pPr>
        <w:keepNext w:val="0"/>
        <w:keepLines w:val="0"/>
        <w:pageBreakBefore w:val="0"/>
        <w:kinsoku/>
        <w:wordWrap/>
        <w:overflowPunct/>
        <w:topLinePunct w:val="0"/>
        <w:bidi w:val="0"/>
        <w:snapToGrid/>
        <w:spacing w:line="360" w:lineRule="auto"/>
        <w:ind w:firstLine="562" w:firstLineChars="200"/>
        <w:rPr>
          <w:rFonts w:asciiTheme="minorEastAsia" w:hAnsiTheme="minorEastAsia"/>
          <w:b/>
          <w:sz w:val="28"/>
          <w:szCs w:val="28"/>
        </w:rPr>
      </w:pPr>
      <w:r>
        <w:rPr>
          <w:rFonts w:hint="eastAsia" w:asciiTheme="minorEastAsia" w:hAnsiTheme="minorEastAsia"/>
          <w:b/>
          <w:sz w:val="28"/>
          <w:szCs w:val="28"/>
        </w:rPr>
        <w:t>（一）投标人负责采购的主要材料设备</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1、本项目主要材料品牌推荐表如下：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8"/>
        <w:gridCol w:w="1133"/>
        <w:gridCol w:w="3191"/>
        <w:gridCol w:w="1402"/>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7" w:type="dxa"/>
            <w:vAlign w:val="center"/>
          </w:tcPr>
          <w:p>
            <w:pPr>
              <w:keepNext w:val="0"/>
              <w:keepLines w:val="0"/>
              <w:pageBreakBefore w:val="0"/>
              <w:kinsoku/>
              <w:wordWrap/>
              <w:overflowPunct/>
              <w:topLinePunct w:val="0"/>
              <w:bidi w:val="0"/>
              <w:snapToGrid/>
              <w:spacing w:line="360" w:lineRule="auto"/>
              <w:jc w:val="center"/>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序号</w:t>
            </w:r>
          </w:p>
        </w:tc>
        <w:tc>
          <w:tcPr>
            <w:tcW w:w="1192" w:type="dxa"/>
            <w:vAlign w:val="center"/>
          </w:tcPr>
          <w:p>
            <w:pPr>
              <w:keepNext w:val="0"/>
              <w:keepLines w:val="0"/>
              <w:pageBreakBefore w:val="0"/>
              <w:kinsoku/>
              <w:wordWrap/>
              <w:overflowPunct/>
              <w:topLinePunct w:val="0"/>
              <w:bidi w:val="0"/>
              <w:snapToGrid/>
              <w:spacing w:line="360" w:lineRule="auto"/>
              <w:jc w:val="center"/>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材料设备名称</w:t>
            </w:r>
          </w:p>
        </w:tc>
        <w:tc>
          <w:tcPr>
            <w:tcW w:w="2819" w:type="dxa"/>
            <w:vAlign w:val="center"/>
          </w:tcPr>
          <w:p>
            <w:pPr>
              <w:keepNext w:val="0"/>
              <w:keepLines w:val="0"/>
              <w:pageBreakBefore w:val="0"/>
              <w:kinsoku/>
              <w:wordWrap/>
              <w:overflowPunct/>
              <w:topLinePunct w:val="0"/>
              <w:bidi w:val="0"/>
              <w:snapToGrid/>
              <w:spacing w:line="360" w:lineRule="auto"/>
              <w:jc w:val="center"/>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推荐品牌（系列）</w:t>
            </w:r>
          </w:p>
        </w:tc>
        <w:tc>
          <w:tcPr>
            <w:tcW w:w="1486" w:type="dxa"/>
            <w:vAlign w:val="center"/>
          </w:tcPr>
          <w:p>
            <w:pPr>
              <w:keepNext w:val="0"/>
              <w:keepLines w:val="0"/>
              <w:pageBreakBefore w:val="0"/>
              <w:kinsoku/>
              <w:wordWrap/>
              <w:overflowPunct/>
              <w:topLinePunct w:val="0"/>
              <w:bidi w:val="0"/>
              <w:snapToGrid/>
              <w:spacing w:line="360" w:lineRule="auto"/>
              <w:jc w:val="center"/>
              <w:rPr>
                <w:rFonts w:hint="eastAsia"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制造商</w:t>
            </w:r>
          </w:p>
          <w:p>
            <w:pPr>
              <w:keepNext w:val="0"/>
              <w:keepLines w:val="0"/>
              <w:pageBreakBefore w:val="0"/>
              <w:kinsoku/>
              <w:wordWrap/>
              <w:overflowPunct/>
              <w:topLinePunct w:val="0"/>
              <w:bidi w:val="0"/>
              <w:snapToGrid/>
              <w:spacing w:line="360" w:lineRule="auto"/>
              <w:jc w:val="center"/>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名称</w:t>
            </w:r>
          </w:p>
        </w:tc>
        <w:tc>
          <w:tcPr>
            <w:tcW w:w="852" w:type="dxa"/>
            <w:vAlign w:val="center"/>
          </w:tcPr>
          <w:p>
            <w:pPr>
              <w:keepNext w:val="0"/>
              <w:keepLines w:val="0"/>
              <w:pageBreakBefore w:val="0"/>
              <w:kinsoku/>
              <w:wordWrap/>
              <w:overflowPunct/>
              <w:topLinePunct w:val="0"/>
              <w:bidi w:val="0"/>
              <w:snapToGrid/>
              <w:spacing w:line="360" w:lineRule="auto"/>
              <w:jc w:val="center"/>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7" w:type="dxa"/>
            <w:vMerge w:val="restart"/>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kern w:val="2"/>
                <w:sz w:val="20"/>
                <w:szCs w:val="20"/>
                <w:lang w:val="en-US" w:eastAsia="zh-CN" w:bidi="ar-SA"/>
              </w:rPr>
            </w:pPr>
            <w:r>
              <w:rPr>
                <w:rFonts w:hint="eastAsia" w:ascii="宋体" w:hAnsi="宋体" w:eastAsia="宋体" w:cs="宋体"/>
                <w:color w:val="000000"/>
                <w:kern w:val="0"/>
                <w:sz w:val="20"/>
                <w:szCs w:val="20"/>
                <w:lang w:bidi="ar"/>
              </w:rPr>
              <w:t>外墙涂料（含真石漆）</w:t>
            </w:r>
          </w:p>
        </w:tc>
        <w:tc>
          <w:tcPr>
            <w:tcW w:w="1192" w:type="dxa"/>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三棵树</w:t>
            </w:r>
          </w:p>
        </w:tc>
        <w:tc>
          <w:tcPr>
            <w:tcW w:w="2819" w:type="dxa"/>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三棵树涂料股份有限公司</w:t>
            </w:r>
          </w:p>
        </w:tc>
        <w:tc>
          <w:tcPr>
            <w:tcW w:w="1486" w:type="dxa"/>
            <w:vAlign w:val="center"/>
          </w:tcPr>
          <w:p>
            <w:pPr>
              <w:keepNext w:val="0"/>
              <w:keepLines w:val="0"/>
              <w:pageBreakBefore w:val="0"/>
              <w:kinsoku/>
              <w:wordWrap/>
              <w:overflowPunct/>
              <w:topLinePunct w:val="0"/>
              <w:bidi w:val="0"/>
              <w:snapToGrid/>
              <w:spacing w:line="360" w:lineRule="auto"/>
              <w:jc w:val="center"/>
              <w:rPr>
                <w:rFonts w:ascii="宋体" w:hAnsi="宋体" w:eastAsia="宋体" w:cs="宋体"/>
                <w:color w:val="000000"/>
                <w:kern w:val="2"/>
                <w:sz w:val="20"/>
                <w:szCs w:val="20"/>
                <w:lang w:val="en-US" w:eastAsia="zh-CN" w:bidi="ar-SA"/>
              </w:rPr>
            </w:pPr>
          </w:p>
        </w:tc>
        <w:tc>
          <w:tcPr>
            <w:tcW w:w="852" w:type="dxa"/>
          </w:tcPr>
          <w:p>
            <w:pPr>
              <w:keepNext w:val="0"/>
              <w:keepLines w:val="0"/>
              <w:pageBreakBefore w:val="0"/>
              <w:kinsoku/>
              <w:wordWrap/>
              <w:overflowPunct/>
              <w:topLinePunct w:val="0"/>
              <w:bidi w:val="0"/>
              <w:snapToGrid/>
              <w:spacing w:line="360" w:lineRule="auto"/>
              <w:rPr>
                <w:rFonts w:asciiTheme="minorEastAsia" w:hAnsiTheme="minorEastAsia"/>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7" w:type="dxa"/>
            <w:vMerge w:val="continue"/>
          </w:tcPr>
          <w:p>
            <w:pPr>
              <w:keepNext w:val="0"/>
              <w:keepLines w:val="0"/>
              <w:pageBreakBefore w:val="0"/>
              <w:kinsoku/>
              <w:wordWrap/>
              <w:overflowPunct/>
              <w:topLinePunct w:val="0"/>
              <w:bidi w:val="0"/>
              <w:snapToGrid/>
              <w:spacing w:line="360" w:lineRule="auto"/>
              <w:rPr>
                <w:rFonts w:asciiTheme="minorEastAsia" w:hAnsiTheme="minorEastAsia"/>
                <w:color w:val="FF0000"/>
                <w:sz w:val="28"/>
                <w:szCs w:val="28"/>
              </w:rPr>
            </w:pPr>
          </w:p>
        </w:tc>
        <w:tc>
          <w:tcPr>
            <w:tcW w:w="1192" w:type="dxa"/>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立邦</w:t>
            </w:r>
          </w:p>
        </w:tc>
        <w:tc>
          <w:tcPr>
            <w:tcW w:w="2819" w:type="dxa"/>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立邦涂料(中国)有限公司</w:t>
            </w:r>
          </w:p>
        </w:tc>
        <w:tc>
          <w:tcPr>
            <w:tcW w:w="1486" w:type="dxa"/>
            <w:vAlign w:val="center"/>
          </w:tcPr>
          <w:p>
            <w:pPr>
              <w:keepNext w:val="0"/>
              <w:keepLines w:val="0"/>
              <w:pageBreakBefore w:val="0"/>
              <w:kinsoku/>
              <w:wordWrap/>
              <w:overflowPunct/>
              <w:topLinePunct w:val="0"/>
              <w:bidi w:val="0"/>
              <w:snapToGrid/>
              <w:spacing w:line="360" w:lineRule="auto"/>
              <w:jc w:val="center"/>
              <w:rPr>
                <w:rFonts w:ascii="宋体" w:hAnsi="宋体" w:eastAsia="宋体" w:cs="宋体"/>
                <w:color w:val="000000"/>
                <w:kern w:val="2"/>
                <w:sz w:val="20"/>
                <w:szCs w:val="20"/>
                <w:lang w:val="en-US" w:eastAsia="zh-CN" w:bidi="ar-SA"/>
              </w:rPr>
            </w:pPr>
          </w:p>
        </w:tc>
        <w:tc>
          <w:tcPr>
            <w:tcW w:w="852" w:type="dxa"/>
          </w:tcPr>
          <w:p>
            <w:pPr>
              <w:keepNext w:val="0"/>
              <w:keepLines w:val="0"/>
              <w:pageBreakBefore w:val="0"/>
              <w:kinsoku/>
              <w:wordWrap/>
              <w:overflowPunct/>
              <w:topLinePunct w:val="0"/>
              <w:bidi w:val="0"/>
              <w:snapToGrid/>
              <w:spacing w:line="360" w:lineRule="auto"/>
              <w:rPr>
                <w:rFonts w:asciiTheme="minorEastAsia" w:hAnsiTheme="minorEastAsia"/>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7" w:type="dxa"/>
            <w:vMerge w:val="continue"/>
          </w:tcPr>
          <w:p>
            <w:pPr>
              <w:keepNext w:val="0"/>
              <w:keepLines w:val="0"/>
              <w:pageBreakBefore w:val="0"/>
              <w:kinsoku/>
              <w:wordWrap/>
              <w:overflowPunct/>
              <w:topLinePunct w:val="0"/>
              <w:bidi w:val="0"/>
              <w:snapToGrid/>
              <w:spacing w:line="360" w:lineRule="auto"/>
              <w:rPr>
                <w:rFonts w:asciiTheme="minorEastAsia" w:hAnsiTheme="minorEastAsia"/>
                <w:color w:val="FF0000"/>
                <w:sz w:val="28"/>
                <w:szCs w:val="28"/>
              </w:rPr>
            </w:pPr>
          </w:p>
        </w:tc>
        <w:tc>
          <w:tcPr>
            <w:tcW w:w="0" w:type="auto"/>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亚士</w:t>
            </w:r>
          </w:p>
        </w:tc>
        <w:tc>
          <w:tcPr>
            <w:tcW w:w="0" w:type="auto"/>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亚士创能科技（上海）股份有限公司</w:t>
            </w:r>
          </w:p>
        </w:tc>
        <w:tc>
          <w:tcPr>
            <w:tcW w:w="0" w:type="auto"/>
            <w:vAlign w:val="center"/>
          </w:tcPr>
          <w:p>
            <w:pPr>
              <w:keepNext w:val="0"/>
              <w:keepLines w:val="0"/>
              <w:pageBreakBefore w:val="0"/>
              <w:kinsoku/>
              <w:wordWrap/>
              <w:overflowPunct/>
              <w:topLinePunct w:val="0"/>
              <w:bidi w:val="0"/>
              <w:snapToGrid/>
              <w:spacing w:line="360" w:lineRule="auto"/>
              <w:jc w:val="center"/>
              <w:rPr>
                <w:rFonts w:ascii="宋体" w:hAnsi="宋体" w:eastAsia="宋体" w:cs="宋体"/>
                <w:color w:val="000000"/>
                <w:kern w:val="2"/>
                <w:sz w:val="20"/>
                <w:szCs w:val="20"/>
                <w:lang w:val="en-US" w:eastAsia="zh-CN" w:bidi="ar-SA"/>
              </w:rPr>
            </w:pPr>
          </w:p>
        </w:tc>
        <w:tc>
          <w:tcPr>
            <w:tcW w:w="0" w:type="auto"/>
          </w:tcPr>
          <w:p>
            <w:pPr>
              <w:keepNext w:val="0"/>
              <w:keepLines w:val="0"/>
              <w:pageBreakBefore w:val="0"/>
              <w:kinsoku/>
              <w:wordWrap/>
              <w:overflowPunct/>
              <w:topLinePunct w:val="0"/>
              <w:bidi w:val="0"/>
              <w:snapToGrid/>
              <w:spacing w:line="360" w:lineRule="auto"/>
              <w:rPr>
                <w:rFonts w:asciiTheme="minorEastAsia" w:hAnsiTheme="minorEastAsia"/>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7" w:type="dxa"/>
            <w:vMerge w:val="restart"/>
            <w:vAlign w:val="center"/>
          </w:tcPr>
          <w:p>
            <w:pPr>
              <w:keepNext w:val="0"/>
              <w:keepLines w:val="0"/>
              <w:pageBreakBefore w:val="0"/>
              <w:widowControl/>
              <w:kinsoku/>
              <w:wordWrap/>
              <w:overflowPunct/>
              <w:topLinePunct w:val="0"/>
              <w:bidi w:val="0"/>
              <w:snapToGrid/>
              <w:spacing w:line="360" w:lineRule="auto"/>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bidi="ar"/>
              </w:rPr>
              <w:t>内墙乳胶漆（含防霉涂料、无机涂料）</w:t>
            </w:r>
          </w:p>
        </w:tc>
        <w:tc>
          <w:tcPr>
            <w:tcW w:w="0" w:type="auto"/>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三棵树</w:t>
            </w:r>
          </w:p>
        </w:tc>
        <w:tc>
          <w:tcPr>
            <w:tcW w:w="0" w:type="auto"/>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三棵树涂料股份有限公司</w:t>
            </w:r>
          </w:p>
        </w:tc>
        <w:tc>
          <w:tcPr>
            <w:tcW w:w="0" w:type="auto"/>
            <w:vAlign w:val="center"/>
          </w:tcPr>
          <w:p>
            <w:pPr>
              <w:keepNext w:val="0"/>
              <w:keepLines w:val="0"/>
              <w:pageBreakBefore w:val="0"/>
              <w:kinsoku/>
              <w:wordWrap/>
              <w:overflowPunct/>
              <w:topLinePunct w:val="0"/>
              <w:bidi w:val="0"/>
              <w:snapToGrid/>
              <w:spacing w:line="360" w:lineRule="auto"/>
              <w:jc w:val="center"/>
              <w:rPr>
                <w:rFonts w:ascii="宋体" w:hAnsi="宋体" w:eastAsia="宋体" w:cs="宋体"/>
                <w:color w:val="000000"/>
                <w:kern w:val="2"/>
                <w:sz w:val="20"/>
                <w:szCs w:val="20"/>
                <w:lang w:val="en-US" w:eastAsia="zh-CN" w:bidi="ar-SA"/>
              </w:rPr>
            </w:pPr>
          </w:p>
        </w:tc>
        <w:tc>
          <w:tcPr>
            <w:tcW w:w="0" w:type="auto"/>
          </w:tcPr>
          <w:p>
            <w:pPr>
              <w:keepNext w:val="0"/>
              <w:keepLines w:val="0"/>
              <w:pageBreakBefore w:val="0"/>
              <w:kinsoku/>
              <w:wordWrap/>
              <w:overflowPunct/>
              <w:topLinePunct w:val="0"/>
              <w:bidi w:val="0"/>
              <w:snapToGrid/>
              <w:spacing w:line="360" w:lineRule="auto"/>
              <w:rPr>
                <w:rFonts w:asciiTheme="minorEastAsia" w:hAnsiTheme="minorEastAsia"/>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7" w:type="dxa"/>
            <w:vMerge w:val="continue"/>
          </w:tcPr>
          <w:p>
            <w:pPr>
              <w:keepNext w:val="0"/>
              <w:keepLines w:val="0"/>
              <w:pageBreakBefore w:val="0"/>
              <w:widowControl/>
              <w:kinsoku/>
              <w:wordWrap/>
              <w:overflowPunct/>
              <w:topLinePunct w:val="0"/>
              <w:bidi w:val="0"/>
              <w:snapToGrid/>
              <w:spacing w:line="360" w:lineRule="auto"/>
              <w:jc w:val="center"/>
              <w:textAlignment w:val="center"/>
              <w:rPr>
                <w:rFonts w:hint="eastAsia" w:ascii="宋体" w:hAnsi="宋体" w:eastAsia="宋体" w:cs="宋体"/>
                <w:color w:val="000000"/>
                <w:kern w:val="0"/>
                <w:sz w:val="20"/>
                <w:szCs w:val="20"/>
                <w:lang w:bidi="ar"/>
              </w:rPr>
            </w:pPr>
          </w:p>
        </w:tc>
        <w:tc>
          <w:tcPr>
            <w:tcW w:w="0" w:type="auto"/>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立邦</w:t>
            </w:r>
          </w:p>
        </w:tc>
        <w:tc>
          <w:tcPr>
            <w:tcW w:w="0" w:type="auto"/>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立邦涂料(中国)有限公司</w:t>
            </w:r>
          </w:p>
        </w:tc>
        <w:tc>
          <w:tcPr>
            <w:tcW w:w="0" w:type="auto"/>
            <w:vAlign w:val="center"/>
          </w:tcPr>
          <w:p>
            <w:pPr>
              <w:keepNext w:val="0"/>
              <w:keepLines w:val="0"/>
              <w:pageBreakBefore w:val="0"/>
              <w:kinsoku/>
              <w:wordWrap/>
              <w:overflowPunct/>
              <w:topLinePunct w:val="0"/>
              <w:bidi w:val="0"/>
              <w:snapToGrid/>
              <w:spacing w:line="360" w:lineRule="auto"/>
              <w:jc w:val="center"/>
              <w:rPr>
                <w:rFonts w:ascii="宋体" w:hAnsi="宋体" w:eastAsia="宋体" w:cs="宋体"/>
                <w:color w:val="000000"/>
                <w:kern w:val="2"/>
                <w:sz w:val="20"/>
                <w:szCs w:val="20"/>
                <w:lang w:val="en-US" w:eastAsia="zh-CN" w:bidi="ar-SA"/>
              </w:rPr>
            </w:pPr>
          </w:p>
        </w:tc>
        <w:tc>
          <w:tcPr>
            <w:tcW w:w="0" w:type="auto"/>
          </w:tcPr>
          <w:p>
            <w:pPr>
              <w:keepNext w:val="0"/>
              <w:keepLines w:val="0"/>
              <w:pageBreakBefore w:val="0"/>
              <w:kinsoku/>
              <w:wordWrap/>
              <w:overflowPunct/>
              <w:topLinePunct w:val="0"/>
              <w:bidi w:val="0"/>
              <w:snapToGrid/>
              <w:spacing w:line="360" w:lineRule="auto"/>
              <w:rPr>
                <w:rFonts w:asciiTheme="minorEastAsia" w:hAnsiTheme="minorEastAsia"/>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7" w:type="dxa"/>
            <w:vMerge w:val="continue"/>
          </w:tcPr>
          <w:p>
            <w:pPr>
              <w:keepNext w:val="0"/>
              <w:keepLines w:val="0"/>
              <w:pageBreakBefore w:val="0"/>
              <w:widowControl/>
              <w:kinsoku/>
              <w:wordWrap/>
              <w:overflowPunct/>
              <w:topLinePunct w:val="0"/>
              <w:bidi w:val="0"/>
              <w:snapToGrid/>
              <w:spacing w:line="360" w:lineRule="auto"/>
              <w:jc w:val="center"/>
              <w:textAlignment w:val="center"/>
              <w:rPr>
                <w:rFonts w:hint="eastAsia" w:ascii="宋体" w:hAnsi="宋体" w:eastAsia="宋体" w:cs="宋体"/>
                <w:color w:val="000000"/>
                <w:kern w:val="0"/>
                <w:sz w:val="20"/>
                <w:szCs w:val="20"/>
                <w:lang w:bidi="ar"/>
              </w:rPr>
            </w:pPr>
          </w:p>
        </w:tc>
        <w:tc>
          <w:tcPr>
            <w:tcW w:w="0" w:type="auto"/>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亚士</w:t>
            </w:r>
          </w:p>
        </w:tc>
        <w:tc>
          <w:tcPr>
            <w:tcW w:w="0" w:type="auto"/>
            <w:vAlign w:val="center"/>
          </w:tcPr>
          <w:p>
            <w:pPr>
              <w:keepNext w:val="0"/>
              <w:keepLines w:val="0"/>
              <w:pageBreakBefore w:val="0"/>
              <w:widowControl/>
              <w:kinsoku/>
              <w:wordWrap/>
              <w:overflowPunct/>
              <w:topLinePunct w:val="0"/>
              <w:bidi w:val="0"/>
              <w:snapToGrid/>
              <w:spacing w:line="360" w:lineRule="auto"/>
              <w:jc w:val="center"/>
              <w:textAlignment w:val="center"/>
              <w:rPr>
                <w:rFonts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亚士创能科技（上海）股份有限公司</w:t>
            </w:r>
          </w:p>
        </w:tc>
        <w:tc>
          <w:tcPr>
            <w:tcW w:w="0" w:type="auto"/>
            <w:vAlign w:val="center"/>
          </w:tcPr>
          <w:p>
            <w:pPr>
              <w:keepNext w:val="0"/>
              <w:keepLines w:val="0"/>
              <w:pageBreakBefore w:val="0"/>
              <w:kinsoku/>
              <w:wordWrap/>
              <w:overflowPunct/>
              <w:topLinePunct w:val="0"/>
              <w:bidi w:val="0"/>
              <w:snapToGrid/>
              <w:spacing w:line="360" w:lineRule="auto"/>
              <w:jc w:val="center"/>
              <w:rPr>
                <w:rFonts w:ascii="宋体" w:hAnsi="宋体" w:eastAsia="宋体" w:cs="宋体"/>
                <w:color w:val="000000"/>
                <w:kern w:val="2"/>
                <w:sz w:val="20"/>
                <w:szCs w:val="20"/>
                <w:lang w:val="en-US" w:eastAsia="zh-CN" w:bidi="ar-SA"/>
              </w:rPr>
            </w:pPr>
          </w:p>
        </w:tc>
        <w:tc>
          <w:tcPr>
            <w:tcW w:w="0" w:type="auto"/>
          </w:tcPr>
          <w:p>
            <w:pPr>
              <w:keepNext w:val="0"/>
              <w:keepLines w:val="0"/>
              <w:pageBreakBefore w:val="0"/>
              <w:kinsoku/>
              <w:wordWrap/>
              <w:overflowPunct/>
              <w:topLinePunct w:val="0"/>
              <w:bidi w:val="0"/>
              <w:snapToGrid/>
              <w:spacing w:line="360" w:lineRule="auto"/>
              <w:rPr>
                <w:rFonts w:asciiTheme="minorEastAsia" w:hAnsiTheme="minorEastAsia"/>
                <w:color w:val="FF0000"/>
                <w:sz w:val="28"/>
                <w:szCs w:val="28"/>
              </w:rPr>
            </w:pPr>
          </w:p>
        </w:tc>
      </w:tr>
    </w:tbl>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2、主要材料技术标准和质量要求如下：</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keepNext w:val="0"/>
        <w:keepLines w:val="0"/>
        <w:pageBreakBefore w:val="0"/>
        <w:kinsoku/>
        <w:wordWrap/>
        <w:overflowPunct/>
        <w:topLinePunct w:val="0"/>
        <w:bidi w:val="0"/>
        <w:snapToGrid/>
        <w:spacing w:line="360" w:lineRule="auto"/>
        <w:ind w:firstLine="562" w:firstLineChars="200"/>
        <w:rPr>
          <w:rFonts w:asciiTheme="minorEastAsia" w:hAnsiTheme="minorEastAsia"/>
          <w:b/>
          <w:i/>
          <w:color w:val="FF0000"/>
          <w:sz w:val="28"/>
          <w:szCs w:val="28"/>
          <w:u w:val="single"/>
        </w:rPr>
      </w:pPr>
      <w:r>
        <w:rPr>
          <w:rFonts w:hint="eastAsia" w:asciiTheme="minorEastAsia" w:hAnsiTheme="minorEastAsia"/>
          <w:b/>
          <w:sz w:val="28"/>
          <w:szCs w:val="28"/>
        </w:rPr>
        <w:t>（二）招标人自行采购的主要材料设备</w:t>
      </w:r>
    </w:p>
    <w:p>
      <w:pPr>
        <w:keepNext w:val="0"/>
        <w:keepLines w:val="0"/>
        <w:pageBreakBefore w:val="0"/>
        <w:kinsoku/>
        <w:wordWrap/>
        <w:overflowPunct/>
        <w:topLinePunct w:val="0"/>
        <w:bidi w:val="0"/>
        <w:snapToGrid/>
        <w:spacing w:line="360" w:lineRule="auto"/>
        <w:ind w:firstLine="560" w:firstLineChars="200"/>
        <w:rPr>
          <w:rFonts w:hint="eastAsia" w:asciiTheme="minorEastAsia" w:hAnsiTheme="minorEastAsia"/>
          <w:sz w:val="28"/>
          <w:szCs w:val="28"/>
          <w:lang w:eastAsia="zh-CN"/>
        </w:rPr>
      </w:pPr>
      <w:r>
        <w:rPr>
          <w:rFonts w:hint="eastAsia" w:asciiTheme="minorEastAsia" w:hAnsiTheme="minorEastAsia"/>
          <w:sz w:val="28"/>
          <w:szCs w:val="28"/>
          <w:lang w:eastAsia="zh-CN"/>
        </w:rPr>
        <w:t>无。</w:t>
      </w:r>
    </w:p>
    <w:p>
      <w:pPr>
        <w:keepNext w:val="0"/>
        <w:keepLines w:val="0"/>
        <w:pageBreakBefore w:val="0"/>
        <w:kinsoku/>
        <w:wordWrap/>
        <w:overflowPunct/>
        <w:topLinePunct w:val="0"/>
        <w:bidi w:val="0"/>
        <w:snapToGrid/>
        <w:spacing w:line="360" w:lineRule="auto"/>
        <w:ind w:firstLine="562" w:firstLineChars="200"/>
        <w:rPr>
          <w:rFonts w:asciiTheme="minorEastAsia" w:hAnsiTheme="minorEastAsia"/>
          <w:b/>
          <w:sz w:val="28"/>
          <w:szCs w:val="28"/>
        </w:rPr>
      </w:pPr>
      <w:r>
        <w:rPr>
          <w:rFonts w:hint="eastAsia" w:asciiTheme="minorEastAsia" w:hAnsiTheme="minorEastAsia"/>
          <w:b/>
          <w:sz w:val="28"/>
          <w:szCs w:val="28"/>
        </w:rPr>
        <w:t>七、其他说明</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3、工程量清单报价应包括完成招标文件规定的工程量清单项目所需的全部费用，其内含：</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①包括分部分项工程费、措施费、其它项目费和规费、税金；</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②包括完成每分部分项工程所含全部工程内容的费用；</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③包括完成每项工程内容所需的全部费用；</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④工程量清单项目中没有体现的，施工中又必须发生的工程内容所需的费用；</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⑤考虑风险因素而调整的费用；</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⑥因招标人在招标文件中的要求而发生的费用。</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keepNext w:val="0"/>
        <w:keepLines w:val="0"/>
        <w:pageBreakBefore w:val="0"/>
        <w:kinsoku/>
        <w:wordWrap/>
        <w:overflowPunct/>
        <w:topLinePunct w:val="0"/>
        <w:bidi w:val="0"/>
        <w:snapToGrid/>
        <w:spacing w:line="360" w:lineRule="auto"/>
        <w:ind w:firstLine="560" w:firstLineChars="200"/>
        <w:rPr>
          <w:rFonts w:asciiTheme="minorEastAsia" w:hAnsiTheme="minorEastAsia"/>
          <w:sz w:val="28"/>
          <w:szCs w:val="28"/>
        </w:rPr>
      </w:pPr>
      <w:r>
        <w:rPr>
          <w:rFonts w:hint="eastAsia" w:asciiTheme="minorEastAsia" w:hAnsiTheme="minorEastAsia"/>
          <w:sz w:val="28"/>
          <w:szCs w:val="28"/>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zFiODQ4NWQ0ZDExODZlNzJlMDA3MDI5YTA0MjY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71A149F"/>
    <w:rsid w:val="139B4593"/>
    <w:rsid w:val="18297392"/>
    <w:rsid w:val="2477433C"/>
    <w:rsid w:val="2936133B"/>
    <w:rsid w:val="49057F53"/>
    <w:rsid w:val="5A9E5468"/>
    <w:rsid w:val="778B4A79"/>
    <w:rsid w:val="7FDC6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character" w:customStyle="1" w:styleId="11">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2785</Words>
  <Characters>2863</Characters>
  <Lines>19</Lines>
  <Paragraphs>5</Paragraphs>
  <TotalTime>1</TotalTime>
  <ScaleCrop>false</ScaleCrop>
  <LinksUpToDate>false</LinksUpToDate>
  <CharactersWithSpaces>2864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admin</cp:lastModifiedBy>
  <dcterms:modified xsi:type="dcterms:W3CDTF">2023-06-15T08:52:49Z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967E95A7B6B44C40B06284633D370910_12</vt:lpwstr>
  </property>
</Properties>
</file>