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page" w:horzAnchor="margin" w:tblpY="811"/>
        <w:tblW w:w="10314" w:type="dxa"/>
        <w:tblInd w:w="0" w:type="dxa"/>
        <w:tblLayout w:type="fixed"/>
        <w:tblCellMar>
          <w:top w:w="0" w:type="dxa"/>
          <w:left w:w="108" w:type="dxa"/>
          <w:bottom w:w="0" w:type="dxa"/>
          <w:right w:w="108" w:type="dxa"/>
        </w:tblCellMar>
      </w:tblPr>
      <w:tblGrid>
        <w:gridCol w:w="10314"/>
      </w:tblGrid>
      <w:tr>
        <w:tblPrEx>
          <w:tblCellMar>
            <w:top w:w="0" w:type="dxa"/>
            <w:left w:w="108" w:type="dxa"/>
            <w:bottom w:w="0" w:type="dxa"/>
            <w:right w:w="108" w:type="dxa"/>
          </w:tblCellMar>
        </w:tblPrEx>
        <w:trPr>
          <w:trHeight w:val="1123" w:hRule="atLeast"/>
        </w:trPr>
        <w:tc>
          <w:tcPr>
            <w:tcW w:w="10314" w:type="dxa"/>
            <w:tcBorders>
              <w:top w:val="nil"/>
              <w:left w:val="nil"/>
              <w:bottom w:val="single" w:color="auto" w:sz="4" w:space="0"/>
              <w:right w:val="nil"/>
            </w:tcBorders>
            <w:vAlign w:val="center"/>
          </w:tcPr>
          <w:p>
            <w:pPr>
              <w:widowControl/>
              <w:jc w:val="center"/>
              <w:rPr>
                <w:rFonts w:ascii="宋体" w:hAnsi="宋体" w:cs="宋体"/>
                <w:b/>
                <w:bCs/>
                <w:color w:val="000000"/>
                <w:kern w:val="0"/>
                <w:sz w:val="44"/>
                <w:szCs w:val="44"/>
              </w:rPr>
            </w:pPr>
            <w:r>
              <w:rPr>
                <w:rFonts w:hint="eastAsia" w:ascii="宋体" w:hAnsi="宋体" w:cs="宋体"/>
                <w:b/>
                <w:bCs/>
                <w:color w:val="000000"/>
                <w:kern w:val="0"/>
                <w:sz w:val="44"/>
                <w:szCs w:val="44"/>
                <w:lang w:val="en-US" w:eastAsia="zh-CN"/>
              </w:rPr>
              <w:t xml:space="preserve">清 单 编 制 </w:t>
            </w:r>
            <w:r>
              <w:rPr>
                <w:rFonts w:hint="eastAsia" w:ascii="宋体" w:hAnsi="宋体" w:cs="宋体"/>
                <w:b/>
                <w:bCs/>
                <w:color w:val="000000"/>
                <w:kern w:val="0"/>
                <w:sz w:val="44"/>
                <w:szCs w:val="44"/>
              </w:rPr>
              <w:t>总 说 明</w:t>
            </w:r>
          </w:p>
          <w:p>
            <w:pPr>
              <w:tabs>
                <w:tab w:val="left" w:pos="1793"/>
              </w:tabs>
              <w:spacing w:line="360" w:lineRule="exact"/>
              <w:rPr>
                <w:rFonts w:hint="default" w:ascii="宋体" w:hAnsi="宋体" w:eastAsia="楷体_GB2312" w:cs="宋体"/>
                <w:bCs/>
                <w:color w:val="000000"/>
                <w:kern w:val="0"/>
                <w:sz w:val="24"/>
                <w:lang w:val="en-US" w:eastAsia="zh-CN"/>
              </w:rPr>
            </w:pPr>
            <w:r>
              <w:rPr>
                <w:rFonts w:hint="eastAsia" w:ascii="楷体_GB2312" w:hAnsi="宋体" w:eastAsia="楷体_GB2312" w:cs="宋体"/>
                <w:bCs/>
                <w:color w:val="000000"/>
                <w:kern w:val="0"/>
                <w:sz w:val="24"/>
              </w:rPr>
              <w:t>工程名称：</w:t>
            </w:r>
            <w:r>
              <w:rPr>
                <w:rFonts w:hint="eastAsia" w:ascii="楷体_GB2312" w:hAnsi="宋体" w:eastAsia="楷体_GB2312" w:cs="宋体"/>
                <w:bCs/>
                <w:color w:val="000000"/>
                <w:kern w:val="0"/>
                <w:sz w:val="24"/>
                <w:lang w:val="en-US" w:eastAsia="zh-CN"/>
              </w:rPr>
              <w:t>南大幼儿园纱窗工程</w:t>
            </w:r>
          </w:p>
        </w:tc>
      </w:tr>
      <w:tr>
        <w:tblPrEx>
          <w:tblCellMar>
            <w:top w:w="0" w:type="dxa"/>
            <w:left w:w="108" w:type="dxa"/>
            <w:bottom w:w="0" w:type="dxa"/>
            <w:right w:w="108" w:type="dxa"/>
          </w:tblCellMar>
        </w:tblPrEx>
        <w:trPr>
          <w:trHeight w:val="13606" w:hRule="atLeast"/>
        </w:trPr>
        <w:tc>
          <w:tcPr>
            <w:tcW w:w="1031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440" w:lineRule="exact"/>
              <w:ind w:firstLine="422" w:firstLineChars="200"/>
              <w:textAlignment w:val="auto"/>
              <w:rPr>
                <w:rFonts w:hAnsi="宋体"/>
                <w:b/>
                <w:szCs w:val="21"/>
              </w:rPr>
            </w:pPr>
            <w:r>
              <w:rPr>
                <w:rFonts w:hint="eastAsia" w:hAnsi="宋体"/>
                <w:b/>
                <w:szCs w:val="21"/>
              </w:rPr>
              <w:t>一、工程概况：</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default" w:asciiTheme="minorEastAsia" w:hAnsiTheme="minorEastAsia" w:eastAsiaTheme="minorEastAsia" w:cstheme="minorEastAsia"/>
                <w:bCs/>
                <w:color w:val="000000"/>
                <w:kern w:val="0"/>
                <w:sz w:val="21"/>
                <w:szCs w:val="21"/>
                <w:lang w:val="en-US" w:eastAsia="zh-CN"/>
              </w:rPr>
            </w:pPr>
            <w:r>
              <w:rPr>
                <w:rFonts w:hint="eastAsia" w:asciiTheme="minorEastAsia" w:hAnsiTheme="minorEastAsia" w:eastAsiaTheme="minorEastAsia" w:cstheme="minorEastAsia"/>
                <w:szCs w:val="21"/>
              </w:rPr>
              <w:t>建设规模：</w:t>
            </w:r>
            <w:r>
              <w:rPr>
                <w:rFonts w:hint="eastAsia" w:asciiTheme="minorEastAsia" w:hAnsiTheme="minorEastAsia" w:eastAsiaTheme="minorEastAsia" w:cstheme="minorEastAsia"/>
                <w:sz w:val="21"/>
                <w:szCs w:val="21"/>
              </w:rPr>
              <w:t>工程为</w:t>
            </w:r>
            <w:r>
              <w:rPr>
                <w:rFonts w:hint="eastAsia" w:asciiTheme="minorEastAsia" w:hAnsiTheme="minorEastAsia" w:eastAsiaTheme="minorEastAsia" w:cstheme="minorEastAsia"/>
                <w:bCs/>
                <w:color w:val="000000"/>
                <w:kern w:val="0"/>
                <w:sz w:val="21"/>
                <w:szCs w:val="21"/>
                <w:lang w:val="en-US" w:eastAsia="zh-CN"/>
              </w:rPr>
              <w:t>南大幼儿园纱窗制作与安装工程。</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建设内容</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推拉金刚网纱窗、上悬金刚网纱窗</w:t>
            </w:r>
            <w:r>
              <w:rPr>
                <w:rFonts w:hint="eastAsia" w:asciiTheme="minorEastAsia" w:hAnsiTheme="minorEastAsia" w:eastAsiaTheme="minorEastAsia" w:cstheme="minorEastAsia"/>
                <w:color w:val="auto"/>
                <w:szCs w:val="21"/>
                <w:lang w:val="en-US" w:eastAsia="zh-CN"/>
              </w:rPr>
              <w:t xml:space="preserve">、金刚网纱门、电动开启纱窗。       </w:t>
            </w:r>
          </w:p>
          <w:p>
            <w:pPr>
              <w:keepNext w:val="0"/>
              <w:keepLines w:val="0"/>
              <w:pageBreakBefore w:val="0"/>
              <w:widowControl w:val="0"/>
              <w:tabs>
                <w:tab w:val="left" w:pos="1332"/>
              </w:tabs>
              <w:kinsoku/>
              <w:wordWrap/>
              <w:overflowPunct/>
              <w:topLinePunct w:val="0"/>
              <w:autoSpaceDE/>
              <w:autoSpaceDN/>
              <w:bidi w:val="0"/>
              <w:adjustRightInd/>
              <w:snapToGrid/>
              <w:spacing w:line="440" w:lineRule="exact"/>
              <w:ind w:firstLine="420" w:firstLineChars="200"/>
              <w:textAlignment w:val="auto"/>
              <w:rPr>
                <w:rFonts w:hint="default" w:ascii="宋体" w:hAnsi="宋体" w:eastAsia="宋体" w:cs="宋体"/>
                <w:sz w:val="21"/>
                <w:szCs w:val="21"/>
                <w:lang w:val="en-US" w:eastAsia="zh-CN"/>
              </w:rPr>
            </w:pPr>
            <w:r>
              <w:rPr>
                <w:rFonts w:hint="eastAsia" w:asciiTheme="minorEastAsia" w:hAnsiTheme="minorEastAsia" w:eastAsiaTheme="minorEastAsia" w:cstheme="minorEastAsia"/>
                <w:szCs w:val="21"/>
                <w:lang w:val="en-US" w:eastAsia="zh-CN"/>
              </w:rPr>
              <w:t>建设地点：</w:t>
            </w:r>
            <w:r>
              <w:rPr>
                <w:rFonts w:hint="eastAsia" w:ascii="宋体" w:hAnsi="宋体" w:eastAsia="宋体" w:cs="宋体"/>
                <w:i w:val="0"/>
                <w:iCs w:val="0"/>
                <w:caps w:val="0"/>
                <w:color w:val="auto"/>
                <w:spacing w:val="0"/>
                <w:sz w:val="21"/>
                <w:szCs w:val="21"/>
                <w:highlight w:val="none"/>
                <w:shd w:val="clear" w:fill="FFFFFF"/>
              </w:rPr>
              <w:t>江苏省南京市</w:t>
            </w:r>
            <w:r>
              <w:rPr>
                <w:rFonts w:hint="eastAsia" w:ascii="宋体" w:hAnsi="宋体" w:cs="宋体"/>
                <w:i w:val="0"/>
                <w:iCs w:val="0"/>
                <w:caps w:val="0"/>
                <w:color w:val="auto"/>
                <w:spacing w:val="0"/>
                <w:sz w:val="21"/>
                <w:szCs w:val="21"/>
                <w:highlight w:val="none"/>
                <w:shd w:val="clear" w:fill="FFFFFF"/>
                <w:lang w:val="en-US" w:eastAsia="zh-CN"/>
              </w:rPr>
              <w:t>南大幼儿园</w:t>
            </w:r>
          </w:p>
          <w:p>
            <w:pPr>
              <w:keepNext w:val="0"/>
              <w:keepLines w:val="0"/>
              <w:pageBreakBefore w:val="0"/>
              <w:widowControl w:val="0"/>
              <w:numPr>
                <w:ilvl w:val="0"/>
                <w:numId w:val="0"/>
              </w:numPr>
              <w:tabs>
                <w:tab w:val="left" w:pos="1793"/>
              </w:tabs>
              <w:kinsoku/>
              <w:wordWrap/>
              <w:overflowPunct/>
              <w:topLinePunct w:val="0"/>
              <w:autoSpaceDE/>
              <w:autoSpaceDN/>
              <w:bidi w:val="0"/>
              <w:adjustRightInd/>
              <w:snapToGrid/>
              <w:spacing w:line="440" w:lineRule="exact"/>
              <w:ind w:firstLine="422" w:firstLineChars="200"/>
              <w:textAlignment w:val="auto"/>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lang w:val="en-US" w:eastAsia="zh-CN"/>
              </w:rPr>
              <w:t>二、</w:t>
            </w:r>
            <w:r>
              <w:rPr>
                <w:rFonts w:hint="eastAsia" w:asciiTheme="minorEastAsia" w:hAnsiTheme="minorEastAsia" w:eastAsiaTheme="minorEastAsia" w:cstheme="minorEastAsia"/>
                <w:b/>
                <w:szCs w:val="21"/>
              </w:rPr>
              <w:t xml:space="preserve">工程招标范围: </w:t>
            </w:r>
          </w:p>
          <w:p>
            <w:pPr>
              <w:tabs>
                <w:tab w:val="left" w:pos="1793"/>
              </w:tabs>
              <w:spacing w:line="400" w:lineRule="exact"/>
              <w:ind w:firstLine="630" w:firstLineChars="300"/>
              <w:rPr>
                <w:rFonts w:hint="eastAsia" w:ascii="宋体" w:hAnsi="宋体" w:eastAsia="宋体" w:cs="Times New Roman"/>
                <w:sz w:val="21"/>
                <w:szCs w:val="21"/>
                <w:lang w:val="en-US" w:eastAsia="zh-CN"/>
              </w:rPr>
            </w:pPr>
            <w:r>
              <w:rPr>
                <w:rFonts w:hint="eastAsia" w:asciiTheme="minorEastAsia" w:hAnsiTheme="minorEastAsia" w:eastAsiaTheme="minorEastAsia" w:cstheme="minorEastAsia"/>
                <w:szCs w:val="21"/>
                <w:lang w:val="en-US" w:eastAsia="zh-CN"/>
              </w:rPr>
              <w:t>推拉金刚网纱窗、上悬金刚网纱窗</w:t>
            </w:r>
            <w:r>
              <w:rPr>
                <w:rFonts w:hint="eastAsia" w:asciiTheme="minorEastAsia" w:hAnsiTheme="minorEastAsia" w:eastAsiaTheme="minorEastAsia" w:cstheme="minorEastAsia"/>
                <w:color w:val="auto"/>
                <w:szCs w:val="21"/>
                <w:lang w:val="en-US" w:eastAsia="zh-CN"/>
              </w:rPr>
              <w:t>、金刚网纱门、电动开启纱窗。</w:t>
            </w:r>
            <w:r>
              <w:rPr>
                <w:rFonts w:hint="eastAsia" w:ascii="宋体" w:hAnsi="宋体" w:eastAsia="宋体" w:cs="Times New Roman"/>
                <w:sz w:val="21"/>
                <w:szCs w:val="21"/>
                <w:lang w:val="en-US" w:eastAsia="zh-CN"/>
              </w:rPr>
              <w:t>（具体详见资料及工程量清单）</w:t>
            </w:r>
          </w:p>
          <w:p>
            <w:pPr>
              <w:keepNext w:val="0"/>
              <w:keepLines w:val="0"/>
              <w:pageBreakBefore w:val="0"/>
              <w:widowControl w:val="0"/>
              <w:kinsoku/>
              <w:wordWrap/>
              <w:overflowPunct/>
              <w:topLinePunct w:val="0"/>
              <w:autoSpaceDE/>
              <w:autoSpaceDN/>
              <w:bidi w:val="0"/>
              <w:adjustRightInd/>
              <w:snapToGrid/>
              <w:spacing w:line="440" w:lineRule="exact"/>
              <w:ind w:firstLine="422" w:firstLineChars="200"/>
              <w:textAlignment w:val="auto"/>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三、清单编制依据：</w:t>
            </w:r>
          </w:p>
          <w:p>
            <w:pPr>
              <w:tabs>
                <w:tab w:val="left" w:pos="1793"/>
              </w:tabs>
              <w:spacing w:line="400" w:lineRule="exact"/>
              <w:ind w:firstLine="480"/>
              <w:rPr>
                <w:rFonts w:hint="eastAsia" w:ascii="宋体" w:hAnsi="宋体"/>
                <w:szCs w:val="21"/>
              </w:rPr>
            </w:pPr>
            <w:r>
              <w:rPr>
                <w:rFonts w:hint="eastAsia" w:ascii="宋体" w:hAnsi="宋体"/>
                <w:szCs w:val="21"/>
                <w:lang w:val="en-US" w:eastAsia="zh-CN"/>
              </w:rPr>
              <w:t>1</w:t>
            </w:r>
            <w:r>
              <w:rPr>
                <w:rFonts w:hint="eastAsia" w:ascii="宋体" w:hAnsi="宋体"/>
                <w:szCs w:val="21"/>
              </w:rPr>
              <w:t>、清单执行建设部颁发的《房屋建筑与装饰工程工程量计算规范》GB50854-2013；</w:t>
            </w:r>
          </w:p>
          <w:p>
            <w:pPr>
              <w:tabs>
                <w:tab w:val="left" w:pos="1793"/>
              </w:tabs>
              <w:spacing w:line="400" w:lineRule="exact"/>
              <w:ind w:firstLine="480"/>
              <w:rPr>
                <w:rFonts w:hint="eastAsia" w:ascii="宋体" w:hAnsi="宋体"/>
                <w:szCs w:val="21"/>
                <w:lang w:eastAsia="zh-CN"/>
              </w:rPr>
            </w:pPr>
            <w:r>
              <w:rPr>
                <w:rFonts w:hint="eastAsia" w:ascii="宋体" w:hAnsi="宋体"/>
                <w:szCs w:val="21"/>
                <w:lang w:val="en-US" w:eastAsia="zh-CN"/>
              </w:rPr>
              <w:t>2</w:t>
            </w:r>
            <w:r>
              <w:rPr>
                <w:rFonts w:hint="eastAsia" w:ascii="宋体" w:hAnsi="宋体"/>
                <w:szCs w:val="21"/>
              </w:rPr>
              <w:t>、2014版《江苏省建筑与装饰工程计价定额》</w:t>
            </w:r>
            <w:r>
              <w:rPr>
                <w:rFonts w:hint="eastAsia" w:ascii="宋体" w:hAnsi="宋体"/>
                <w:szCs w:val="21"/>
                <w:lang w:eastAsia="zh-CN"/>
              </w:rPr>
              <w:t>；</w:t>
            </w:r>
          </w:p>
          <w:p>
            <w:pPr>
              <w:numPr>
                <w:ilvl w:val="0"/>
                <w:numId w:val="1"/>
              </w:numPr>
              <w:tabs>
                <w:tab w:val="left" w:pos="1793"/>
              </w:tabs>
              <w:spacing w:line="400" w:lineRule="exact"/>
              <w:ind w:firstLine="480"/>
              <w:rPr>
                <w:rFonts w:hint="default" w:ascii="宋体" w:hAnsi="宋体"/>
                <w:szCs w:val="21"/>
              </w:rPr>
            </w:pPr>
            <w:r>
              <w:rPr>
                <w:rFonts w:hint="default" w:ascii="宋体" w:hAnsi="宋体"/>
                <w:szCs w:val="21"/>
              </w:rPr>
              <w:t>建设工程计价采用一般计税方法（及2014年《江苏省建设工程费用定额》有关规定；</w:t>
            </w:r>
          </w:p>
          <w:p>
            <w:pPr>
              <w:numPr>
                <w:ilvl w:val="0"/>
                <w:numId w:val="1"/>
              </w:numPr>
              <w:tabs>
                <w:tab w:val="left" w:pos="1793"/>
              </w:tabs>
              <w:spacing w:line="400" w:lineRule="exact"/>
              <w:ind w:firstLine="480"/>
              <w:rPr>
                <w:rFonts w:hint="eastAsia" w:asciiTheme="minorEastAsia" w:hAnsiTheme="minorEastAsia" w:eastAsiaTheme="minorEastAsia" w:cstheme="minorEastAsia"/>
                <w:szCs w:val="21"/>
                <w:lang w:eastAsia="zh-CN"/>
              </w:rPr>
            </w:pPr>
            <w:r>
              <w:rPr>
                <w:rFonts w:hint="eastAsia" w:ascii="宋体" w:hAnsi="宋体"/>
                <w:szCs w:val="21"/>
              </w:rPr>
              <w:t>招标文件、国家和地方有关工程造价文件</w:t>
            </w:r>
            <w:r>
              <w:rPr>
                <w:rFonts w:hint="default" w:ascii="宋体" w:hAnsi="宋体"/>
                <w:szCs w:val="21"/>
              </w:rPr>
              <w:t>等</w:t>
            </w:r>
            <w:r>
              <w:rPr>
                <w:rFonts w:hint="eastAsia" w:ascii="宋体" w:hAnsi="宋体"/>
                <w:szCs w:val="21"/>
                <w:lang w:eastAsia="zh-CN"/>
              </w:rPr>
              <w:t>；</w:t>
            </w:r>
          </w:p>
          <w:p>
            <w:pPr>
              <w:numPr>
                <w:ilvl w:val="0"/>
                <w:numId w:val="1"/>
              </w:numPr>
              <w:tabs>
                <w:tab w:val="left" w:pos="1793"/>
              </w:tabs>
              <w:spacing w:line="400" w:lineRule="exact"/>
              <w:ind w:firstLine="48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建设工程计价采用一般计税方法，详见苏建函价【2019】178号、苏建函价【</w:t>
            </w:r>
            <w:r>
              <w:rPr>
                <w:rFonts w:hint="eastAsia" w:asciiTheme="minorEastAsia" w:hAnsiTheme="minorEastAsia" w:eastAsiaTheme="minorEastAsia" w:cstheme="minorEastAsia"/>
                <w:szCs w:val="21"/>
                <w:lang w:val="en-US" w:eastAsia="zh-CN"/>
              </w:rPr>
              <w:t>2024</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83</w:t>
            </w:r>
            <w:r>
              <w:rPr>
                <w:rFonts w:hint="eastAsia" w:asciiTheme="minorEastAsia" w:hAnsiTheme="minorEastAsia" w:eastAsiaTheme="minorEastAsia" w:cstheme="minorEastAsia"/>
                <w:szCs w:val="21"/>
              </w:rPr>
              <w:t>号</w:t>
            </w:r>
            <w:r>
              <w:rPr>
                <w:rFonts w:hint="eastAsia" w:asciiTheme="minorEastAsia" w:hAnsiTheme="minorEastAsia" w:eastAsiaTheme="minorEastAsia" w:cstheme="minorEastAsia"/>
                <w:szCs w:val="21"/>
                <w:lang w:eastAsia="zh-CN"/>
              </w:rPr>
              <w:t>。</w:t>
            </w:r>
          </w:p>
          <w:p>
            <w:pPr>
              <w:numPr>
                <w:ilvl w:val="0"/>
                <w:numId w:val="1"/>
              </w:numPr>
              <w:tabs>
                <w:tab w:val="left" w:pos="1793"/>
              </w:tabs>
              <w:spacing w:line="400" w:lineRule="exact"/>
              <w:ind w:firstLine="480"/>
              <w:rPr>
                <w:rFonts w:hint="eastAsia" w:asciiTheme="minorEastAsia" w:hAnsiTheme="minorEastAsia" w:eastAsiaTheme="minorEastAsia" w:cstheme="minorEastAsia"/>
                <w:szCs w:val="21"/>
                <w:lang w:eastAsia="zh-CN"/>
              </w:rPr>
            </w:pPr>
            <w:r>
              <w:rPr>
                <w:rFonts w:hint="eastAsia" w:ascii="宋体" w:hAnsi="宋体"/>
                <w:kern w:val="1"/>
                <w:szCs w:val="21"/>
              </w:rPr>
              <w:t>202</w:t>
            </w:r>
            <w:r>
              <w:rPr>
                <w:rFonts w:hint="eastAsia" w:ascii="宋体" w:hAnsi="宋体"/>
                <w:kern w:val="1"/>
                <w:szCs w:val="21"/>
                <w:lang w:val="en-US" w:eastAsia="zh-CN"/>
              </w:rPr>
              <w:t>4</w:t>
            </w:r>
            <w:r>
              <w:rPr>
                <w:rFonts w:hint="eastAsia" w:ascii="宋体" w:hAnsi="宋体"/>
                <w:kern w:val="1"/>
                <w:szCs w:val="21"/>
              </w:rPr>
              <w:t>年</w:t>
            </w:r>
            <w:r>
              <w:rPr>
                <w:rFonts w:hint="eastAsia" w:ascii="宋体" w:hAnsi="宋体"/>
                <w:kern w:val="1"/>
                <w:szCs w:val="21"/>
                <w:lang w:val="en-US" w:eastAsia="zh-CN"/>
              </w:rPr>
              <w:t>6</w:t>
            </w:r>
            <w:r>
              <w:rPr>
                <w:rFonts w:hint="eastAsia" w:ascii="宋体" w:hAnsi="宋体"/>
                <w:kern w:val="1"/>
                <w:szCs w:val="21"/>
              </w:rPr>
              <w:t>月份《南京工程造价管理》上发布的</w:t>
            </w:r>
            <w:r>
              <w:rPr>
                <w:rFonts w:hint="eastAsia" w:ascii="宋体" w:hAnsi="宋体" w:cs="宋体"/>
                <w:kern w:val="1"/>
                <w:szCs w:val="21"/>
              </w:rPr>
              <w:t>信息指导价</w:t>
            </w:r>
            <w:r>
              <w:rPr>
                <w:rFonts w:hint="eastAsia" w:ascii="宋体" w:hAnsi="宋体" w:cs="宋体"/>
                <w:kern w:val="1"/>
                <w:szCs w:val="21"/>
                <w:lang w:eastAsia="zh-CN"/>
              </w:rPr>
              <w:t>；</w:t>
            </w:r>
            <w:r>
              <w:rPr>
                <w:rFonts w:hint="eastAsia"/>
                <w:sz w:val="22"/>
              </w:rPr>
              <w:t>信息价中没有的，参考同期市场采购价格。</w:t>
            </w:r>
          </w:p>
          <w:p>
            <w:pPr>
              <w:keepNext w:val="0"/>
              <w:keepLines w:val="0"/>
              <w:pageBreakBefore w:val="0"/>
              <w:widowControl w:val="0"/>
              <w:kinsoku/>
              <w:wordWrap/>
              <w:overflowPunct/>
              <w:topLinePunct w:val="0"/>
              <w:autoSpaceDE/>
              <w:autoSpaceDN/>
              <w:bidi w:val="0"/>
              <w:adjustRightInd/>
              <w:snapToGrid/>
              <w:spacing w:line="440" w:lineRule="exact"/>
              <w:ind w:firstLine="422" w:firstLineChars="200"/>
              <w:textAlignment w:val="auto"/>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四、工程质量、材料、施工等的特殊要求：</w:t>
            </w:r>
          </w:p>
          <w:p>
            <w:pPr>
              <w:keepNext w:val="0"/>
              <w:keepLines w:val="0"/>
              <w:pageBreakBefore w:val="0"/>
              <w:widowControl w:val="0"/>
              <w:tabs>
                <w:tab w:val="left" w:pos="1332"/>
              </w:tabs>
              <w:kinsoku/>
              <w:wordWrap/>
              <w:overflowPunct/>
              <w:topLinePunct w:val="0"/>
              <w:autoSpaceDE/>
              <w:autoSpaceDN/>
              <w:bidi w:val="0"/>
              <w:adjustRightInd/>
              <w:snapToGrid/>
              <w:spacing w:line="440" w:lineRule="exact"/>
              <w:ind w:firstLine="420" w:firstLineChars="200"/>
              <w:textAlignment w:val="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1、本工程所用材料均由投标人自购，材质须符合甲方质量规范要求</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投标人自行采购的材料自主报价，并按合同约定承担价格的市场风险；</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2、施工等的特殊要求：详见招标文件。</w:t>
            </w:r>
          </w:p>
          <w:p>
            <w:pPr>
              <w:keepNext w:val="0"/>
              <w:keepLines w:val="0"/>
              <w:pageBreakBefore w:val="0"/>
              <w:widowControl w:val="0"/>
              <w:numPr>
                <w:ilvl w:val="0"/>
                <w:numId w:val="0"/>
              </w:numPr>
              <w:tabs>
                <w:tab w:val="left" w:pos="1793"/>
              </w:tabs>
              <w:kinsoku/>
              <w:wordWrap/>
              <w:overflowPunct/>
              <w:topLinePunct w:val="0"/>
              <w:autoSpaceDE/>
              <w:autoSpaceDN/>
              <w:bidi w:val="0"/>
              <w:adjustRightInd/>
              <w:snapToGrid/>
              <w:spacing w:line="360" w:lineRule="auto"/>
              <w:ind w:left="420" w:leftChars="0" w:right="420" w:rightChars="200"/>
              <w:textAlignment w:val="auto"/>
              <w:rPr>
                <w:rFonts w:hint="default" w:asciiTheme="minorEastAsia" w:hAnsiTheme="minorEastAsia" w:eastAsiaTheme="minorEastAsia" w:cstheme="minorEastAsia"/>
                <w:b w:val="0"/>
                <w:bCs/>
                <w:szCs w:val="21"/>
                <w:lang w:val="en-US" w:eastAsia="zh-CN"/>
              </w:rPr>
            </w:pPr>
            <w:r>
              <w:rPr>
                <w:rFonts w:hint="eastAsia" w:asciiTheme="minorEastAsia" w:hAnsiTheme="minorEastAsia" w:eastAsiaTheme="minorEastAsia" w:cstheme="minorEastAsia"/>
                <w:b/>
                <w:szCs w:val="21"/>
              </w:rPr>
              <w:t>五、暂列金额：</w:t>
            </w:r>
            <w:r>
              <w:rPr>
                <w:rFonts w:hint="eastAsia" w:asciiTheme="minorEastAsia" w:hAnsiTheme="minorEastAsia" w:eastAsiaTheme="minorEastAsia" w:cstheme="minorEastAsia"/>
                <w:b/>
                <w:szCs w:val="21"/>
                <w:highlight w:val="yellow"/>
                <w:lang w:val="en-US" w:eastAsia="zh-CN"/>
              </w:rPr>
              <w:t>详见清单。</w:t>
            </w:r>
            <w:bookmarkStart w:id="0" w:name="_GoBack"/>
            <w:bookmarkEnd w:id="0"/>
          </w:p>
          <w:p>
            <w:pPr>
              <w:keepNext w:val="0"/>
              <w:keepLines w:val="0"/>
              <w:pageBreakBefore w:val="0"/>
              <w:widowControl w:val="0"/>
              <w:kinsoku/>
              <w:wordWrap/>
              <w:overflowPunct/>
              <w:topLinePunct w:val="0"/>
              <w:autoSpaceDE/>
              <w:autoSpaceDN/>
              <w:bidi w:val="0"/>
              <w:adjustRightInd/>
              <w:snapToGrid/>
              <w:spacing w:line="440" w:lineRule="exact"/>
              <w:ind w:firstLine="422" w:firstLineChars="200"/>
              <w:textAlignment w:val="auto"/>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六、其它相关说明：</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、对于不清楚的内容以项目清单描述为准,请投标人在报价中充分考虑,组价时应结合投标人现场勘查情况包括完成所有工序工作内容的全部费用</w:t>
            </w:r>
            <w:r>
              <w:rPr>
                <w:rFonts w:hint="eastAsia" w:asciiTheme="minorEastAsia" w:hAnsiTheme="minorEastAsia" w:eastAsiaTheme="minorEastAsia" w:cstheme="minorEastAsia"/>
                <w:szCs w:val="21"/>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、投标人必须充分勘察现场实际情况，</w:t>
            </w:r>
            <w:r>
              <w:rPr>
                <w:rFonts w:hint="eastAsia" w:asciiTheme="minorEastAsia" w:hAnsiTheme="minorEastAsia" w:eastAsiaTheme="minorEastAsia" w:cstheme="minorEastAsia"/>
                <w:szCs w:val="21"/>
                <w:lang w:val="en-US" w:eastAsia="zh-CN"/>
              </w:rPr>
              <w:t>考虑到成品保护，并</w:t>
            </w:r>
            <w:r>
              <w:rPr>
                <w:rFonts w:hint="eastAsia" w:asciiTheme="minorEastAsia" w:hAnsiTheme="minorEastAsia" w:eastAsiaTheme="minorEastAsia" w:cstheme="minorEastAsia"/>
                <w:szCs w:val="21"/>
              </w:rPr>
              <w:t>自行考虑材料运输及堆场所必须的费用；</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、请投标人自行查勘现场，对于现场是否满足所有临时设施、施工场地的搭设要求，请投标人在报价中充分考虑本项目施工的特殊性，结算时不得增加与此有关的费用；</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4</w:t>
            </w:r>
            <w:r>
              <w:rPr>
                <w:rFonts w:hint="eastAsia" w:asciiTheme="minorEastAsia" w:hAnsiTheme="minorEastAsia" w:eastAsiaTheme="minorEastAsia" w:cstheme="minorEastAsia"/>
                <w:szCs w:val="21"/>
              </w:rPr>
              <w:t>、请投标人充分踏勘现场，对于现场的实际情况、周边环境影响、道路运输、专人现场安全看护等在报价中考虑，结算时不得增加与此有关的费用；</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Ansi="宋体"/>
                <w:szCs w:val="21"/>
              </w:rPr>
            </w:pPr>
            <w:r>
              <w:rPr>
                <w:rFonts w:hint="eastAsia" w:asciiTheme="minorEastAsia" w:hAnsiTheme="minorEastAsia" w:eastAsiaTheme="minorEastAsia" w:cstheme="minorEastAsia"/>
                <w:szCs w:val="21"/>
                <w:lang w:val="en-US" w:eastAsia="zh-CN"/>
              </w:rPr>
              <w:t>5</w:t>
            </w:r>
            <w:r>
              <w:rPr>
                <w:rFonts w:hint="eastAsia" w:asciiTheme="minorEastAsia" w:hAnsiTheme="minorEastAsia" w:eastAsiaTheme="minorEastAsia" w:cstheme="minorEastAsia"/>
                <w:szCs w:val="21"/>
              </w:rPr>
              <w:t>、本</w:t>
            </w:r>
            <w:r>
              <w:rPr>
                <w:rFonts w:hint="eastAsia" w:ascii="宋体" w:hAnsi="宋体"/>
                <w:szCs w:val="21"/>
              </w:rPr>
              <w:t>说明为招标文件的重要组成部分，投标单位需仔细阅读每一条款，做出合理报价</w:t>
            </w:r>
            <w:r>
              <w:rPr>
                <w:rFonts w:hint="eastAsia" w:ascii="宋体" w:hAnsi="宋体"/>
                <w:szCs w:val="21"/>
                <w:lang w:eastAsia="zh-CN"/>
              </w:rPr>
              <w:t>；</w:t>
            </w:r>
          </w:p>
        </w:tc>
      </w:tr>
    </w:tbl>
    <w:p/>
    <w:sectPr>
      <w:headerReference r:id="rId3" w:type="default"/>
      <w:pgSz w:w="11906" w:h="16838"/>
      <w:pgMar w:top="851" w:right="680" w:bottom="680" w:left="96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C9A4EC"/>
    <w:multiLevelType w:val="singleLevel"/>
    <w:tmpl w:val="3DC9A4EC"/>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GVhZTMwYzJjYjlmZjE0MDRmYmQ2YTkwZTMxNDNmOGQifQ=="/>
  </w:docVars>
  <w:rsids>
    <w:rsidRoot w:val="00172A27"/>
    <w:rsid w:val="000232F8"/>
    <w:rsid w:val="00030FD5"/>
    <w:rsid w:val="000450D9"/>
    <w:rsid w:val="0004605A"/>
    <w:rsid w:val="000654B5"/>
    <w:rsid w:val="000B067D"/>
    <w:rsid w:val="000E1315"/>
    <w:rsid w:val="000F2622"/>
    <w:rsid w:val="000F377D"/>
    <w:rsid w:val="0010240D"/>
    <w:rsid w:val="00145011"/>
    <w:rsid w:val="0015601C"/>
    <w:rsid w:val="00157558"/>
    <w:rsid w:val="00163747"/>
    <w:rsid w:val="00172A27"/>
    <w:rsid w:val="00181FBC"/>
    <w:rsid w:val="001B32D6"/>
    <w:rsid w:val="001D39BE"/>
    <w:rsid w:val="001E0055"/>
    <w:rsid w:val="001F0AE1"/>
    <w:rsid w:val="00223D55"/>
    <w:rsid w:val="00225E20"/>
    <w:rsid w:val="00230547"/>
    <w:rsid w:val="00265316"/>
    <w:rsid w:val="00293481"/>
    <w:rsid w:val="002B7407"/>
    <w:rsid w:val="002D67E2"/>
    <w:rsid w:val="00353DF4"/>
    <w:rsid w:val="00371506"/>
    <w:rsid w:val="00372729"/>
    <w:rsid w:val="00385EE2"/>
    <w:rsid w:val="003A7D93"/>
    <w:rsid w:val="003C0BF9"/>
    <w:rsid w:val="003C0ED3"/>
    <w:rsid w:val="003C43D7"/>
    <w:rsid w:val="003D0438"/>
    <w:rsid w:val="003D5E2E"/>
    <w:rsid w:val="003F3AEB"/>
    <w:rsid w:val="004019AA"/>
    <w:rsid w:val="00411AFE"/>
    <w:rsid w:val="00440912"/>
    <w:rsid w:val="00445DA9"/>
    <w:rsid w:val="00474A05"/>
    <w:rsid w:val="00475C75"/>
    <w:rsid w:val="00494848"/>
    <w:rsid w:val="004B42A9"/>
    <w:rsid w:val="004E5825"/>
    <w:rsid w:val="004E7CC7"/>
    <w:rsid w:val="004F7326"/>
    <w:rsid w:val="00504A2A"/>
    <w:rsid w:val="00506F5C"/>
    <w:rsid w:val="00511D70"/>
    <w:rsid w:val="0052325A"/>
    <w:rsid w:val="00536A30"/>
    <w:rsid w:val="00582555"/>
    <w:rsid w:val="005B0FE1"/>
    <w:rsid w:val="0061681F"/>
    <w:rsid w:val="00633F0E"/>
    <w:rsid w:val="00662BFA"/>
    <w:rsid w:val="00667BAC"/>
    <w:rsid w:val="006758AE"/>
    <w:rsid w:val="00685959"/>
    <w:rsid w:val="00693967"/>
    <w:rsid w:val="006941A0"/>
    <w:rsid w:val="006A7867"/>
    <w:rsid w:val="006C0C12"/>
    <w:rsid w:val="006C21E9"/>
    <w:rsid w:val="006C3458"/>
    <w:rsid w:val="006D0913"/>
    <w:rsid w:val="006D45C7"/>
    <w:rsid w:val="006E07C1"/>
    <w:rsid w:val="006E5ED9"/>
    <w:rsid w:val="00770E7D"/>
    <w:rsid w:val="00771424"/>
    <w:rsid w:val="00784B1E"/>
    <w:rsid w:val="00785EE4"/>
    <w:rsid w:val="0079332F"/>
    <w:rsid w:val="00794FC5"/>
    <w:rsid w:val="007A6DA6"/>
    <w:rsid w:val="007B17B7"/>
    <w:rsid w:val="007B6302"/>
    <w:rsid w:val="007B64AB"/>
    <w:rsid w:val="007D01C2"/>
    <w:rsid w:val="007E0E2B"/>
    <w:rsid w:val="007E4979"/>
    <w:rsid w:val="0081086C"/>
    <w:rsid w:val="008264F0"/>
    <w:rsid w:val="00830788"/>
    <w:rsid w:val="0087319B"/>
    <w:rsid w:val="008851EF"/>
    <w:rsid w:val="008C1EAC"/>
    <w:rsid w:val="008C763E"/>
    <w:rsid w:val="009C626A"/>
    <w:rsid w:val="009D558B"/>
    <w:rsid w:val="00A06EF0"/>
    <w:rsid w:val="00A20203"/>
    <w:rsid w:val="00A30535"/>
    <w:rsid w:val="00A52182"/>
    <w:rsid w:val="00A67A96"/>
    <w:rsid w:val="00AA4C43"/>
    <w:rsid w:val="00AA7264"/>
    <w:rsid w:val="00AB63A4"/>
    <w:rsid w:val="00B15A09"/>
    <w:rsid w:val="00B60D66"/>
    <w:rsid w:val="00BC4AC7"/>
    <w:rsid w:val="00BF1084"/>
    <w:rsid w:val="00C04BF1"/>
    <w:rsid w:val="00C05133"/>
    <w:rsid w:val="00C1259A"/>
    <w:rsid w:val="00C15F1A"/>
    <w:rsid w:val="00C26861"/>
    <w:rsid w:val="00C33AE5"/>
    <w:rsid w:val="00C663F6"/>
    <w:rsid w:val="00C849B1"/>
    <w:rsid w:val="00C97599"/>
    <w:rsid w:val="00CA08D8"/>
    <w:rsid w:val="00CA4C1A"/>
    <w:rsid w:val="00CB60CC"/>
    <w:rsid w:val="00D04C1F"/>
    <w:rsid w:val="00D5008A"/>
    <w:rsid w:val="00D61551"/>
    <w:rsid w:val="00D740BF"/>
    <w:rsid w:val="00D86A6F"/>
    <w:rsid w:val="00DD3B1E"/>
    <w:rsid w:val="00DD45CC"/>
    <w:rsid w:val="00DF7A44"/>
    <w:rsid w:val="00E17C7C"/>
    <w:rsid w:val="00E2165A"/>
    <w:rsid w:val="00E523D6"/>
    <w:rsid w:val="00E56415"/>
    <w:rsid w:val="00E72A13"/>
    <w:rsid w:val="00E7354C"/>
    <w:rsid w:val="00F009BE"/>
    <w:rsid w:val="00F01091"/>
    <w:rsid w:val="00F078AD"/>
    <w:rsid w:val="00F278C0"/>
    <w:rsid w:val="00F36176"/>
    <w:rsid w:val="00F8739E"/>
    <w:rsid w:val="00F9549F"/>
    <w:rsid w:val="00FA5C6E"/>
    <w:rsid w:val="00FD4501"/>
    <w:rsid w:val="00FF05BF"/>
    <w:rsid w:val="0198061A"/>
    <w:rsid w:val="01C01A3A"/>
    <w:rsid w:val="01CA313D"/>
    <w:rsid w:val="02A3465E"/>
    <w:rsid w:val="02A66735"/>
    <w:rsid w:val="03216186"/>
    <w:rsid w:val="03763C0F"/>
    <w:rsid w:val="03CA2986"/>
    <w:rsid w:val="04657DFE"/>
    <w:rsid w:val="04777249"/>
    <w:rsid w:val="05DA5890"/>
    <w:rsid w:val="05EA716D"/>
    <w:rsid w:val="05ED1320"/>
    <w:rsid w:val="060466D2"/>
    <w:rsid w:val="065D791F"/>
    <w:rsid w:val="067A57F6"/>
    <w:rsid w:val="067B1920"/>
    <w:rsid w:val="07BA281D"/>
    <w:rsid w:val="08010DB1"/>
    <w:rsid w:val="087C688C"/>
    <w:rsid w:val="08A94889"/>
    <w:rsid w:val="09B849A4"/>
    <w:rsid w:val="0A0931C0"/>
    <w:rsid w:val="0A63169F"/>
    <w:rsid w:val="0B6B3063"/>
    <w:rsid w:val="0B716CD6"/>
    <w:rsid w:val="0D293D0A"/>
    <w:rsid w:val="0DEA0586"/>
    <w:rsid w:val="0E50735A"/>
    <w:rsid w:val="0EB23468"/>
    <w:rsid w:val="0EE27704"/>
    <w:rsid w:val="0EFA4F0D"/>
    <w:rsid w:val="103E16C1"/>
    <w:rsid w:val="109B265F"/>
    <w:rsid w:val="110E5BD1"/>
    <w:rsid w:val="117E22CB"/>
    <w:rsid w:val="11BA126F"/>
    <w:rsid w:val="11E26D81"/>
    <w:rsid w:val="124D17E0"/>
    <w:rsid w:val="134E3A4E"/>
    <w:rsid w:val="13A5730B"/>
    <w:rsid w:val="13AC67B0"/>
    <w:rsid w:val="13E13D53"/>
    <w:rsid w:val="143B7E4E"/>
    <w:rsid w:val="14D56EB5"/>
    <w:rsid w:val="15325522"/>
    <w:rsid w:val="15B138D4"/>
    <w:rsid w:val="15F21D99"/>
    <w:rsid w:val="160074B9"/>
    <w:rsid w:val="161F4C07"/>
    <w:rsid w:val="164E5FF3"/>
    <w:rsid w:val="16740E08"/>
    <w:rsid w:val="16AD1A68"/>
    <w:rsid w:val="16AD1B59"/>
    <w:rsid w:val="16E14762"/>
    <w:rsid w:val="179322E3"/>
    <w:rsid w:val="17BB5DA8"/>
    <w:rsid w:val="17E75471"/>
    <w:rsid w:val="17F912ED"/>
    <w:rsid w:val="186B46D7"/>
    <w:rsid w:val="193F7F5F"/>
    <w:rsid w:val="197D7F5D"/>
    <w:rsid w:val="19894338"/>
    <w:rsid w:val="19C5280A"/>
    <w:rsid w:val="19D85657"/>
    <w:rsid w:val="1A1E42E7"/>
    <w:rsid w:val="1A4552A2"/>
    <w:rsid w:val="1B157E4C"/>
    <w:rsid w:val="1B2C188C"/>
    <w:rsid w:val="1B995149"/>
    <w:rsid w:val="1BAD0F0D"/>
    <w:rsid w:val="1BE7564B"/>
    <w:rsid w:val="1C2A1E6F"/>
    <w:rsid w:val="1C634BE9"/>
    <w:rsid w:val="1CEF4D39"/>
    <w:rsid w:val="1D0555AB"/>
    <w:rsid w:val="1D134881"/>
    <w:rsid w:val="1D1B7B62"/>
    <w:rsid w:val="1D2446CD"/>
    <w:rsid w:val="1D67138B"/>
    <w:rsid w:val="1F8B7FEC"/>
    <w:rsid w:val="20DA54E3"/>
    <w:rsid w:val="21311659"/>
    <w:rsid w:val="215A6518"/>
    <w:rsid w:val="22473586"/>
    <w:rsid w:val="228E7521"/>
    <w:rsid w:val="22CB4A3D"/>
    <w:rsid w:val="22E12C42"/>
    <w:rsid w:val="230C6E3B"/>
    <w:rsid w:val="237A65A5"/>
    <w:rsid w:val="25416800"/>
    <w:rsid w:val="26710C3B"/>
    <w:rsid w:val="27F16DB1"/>
    <w:rsid w:val="282F36EC"/>
    <w:rsid w:val="283A0FA2"/>
    <w:rsid w:val="28770281"/>
    <w:rsid w:val="2888662E"/>
    <w:rsid w:val="28BA6C35"/>
    <w:rsid w:val="28E14ECC"/>
    <w:rsid w:val="28E7349F"/>
    <w:rsid w:val="290B5F4F"/>
    <w:rsid w:val="29143210"/>
    <w:rsid w:val="294D4592"/>
    <w:rsid w:val="29670493"/>
    <w:rsid w:val="2A4908BB"/>
    <w:rsid w:val="2A6648F9"/>
    <w:rsid w:val="2ABD49F7"/>
    <w:rsid w:val="2B0E7CDC"/>
    <w:rsid w:val="2B3C02B7"/>
    <w:rsid w:val="2C7703EF"/>
    <w:rsid w:val="2D5D309F"/>
    <w:rsid w:val="2E164934"/>
    <w:rsid w:val="2E1B1850"/>
    <w:rsid w:val="30570F74"/>
    <w:rsid w:val="306C5158"/>
    <w:rsid w:val="30B20F3F"/>
    <w:rsid w:val="31AF09C6"/>
    <w:rsid w:val="31DE396E"/>
    <w:rsid w:val="31FC535A"/>
    <w:rsid w:val="323A4F6E"/>
    <w:rsid w:val="32E4026F"/>
    <w:rsid w:val="32FB66F4"/>
    <w:rsid w:val="33081251"/>
    <w:rsid w:val="331C1E77"/>
    <w:rsid w:val="332706FD"/>
    <w:rsid w:val="337C39AE"/>
    <w:rsid w:val="33E60037"/>
    <w:rsid w:val="3401033D"/>
    <w:rsid w:val="34344AC6"/>
    <w:rsid w:val="34CD2C18"/>
    <w:rsid w:val="35040E18"/>
    <w:rsid w:val="350C1AC2"/>
    <w:rsid w:val="35957228"/>
    <w:rsid w:val="3613346B"/>
    <w:rsid w:val="3678361A"/>
    <w:rsid w:val="36A50B41"/>
    <w:rsid w:val="36AE5688"/>
    <w:rsid w:val="37206E6C"/>
    <w:rsid w:val="376163EB"/>
    <w:rsid w:val="379C3A04"/>
    <w:rsid w:val="37B44D00"/>
    <w:rsid w:val="37C9390E"/>
    <w:rsid w:val="38C91270"/>
    <w:rsid w:val="38CC530E"/>
    <w:rsid w:val="38D01F02"/>
    <w:rsid w:val="3965006E"/>
    <w:rsid w:val="39A42417"/>
    <w:rsid w:val="39A902A2"/>
    <w:rsid w:val="39BD075D"/>
    <w:rsid w:val="3A5036C5"/>
    <w:rsid w:val="3A507B13"/>
    <w:rsid w:val="3A925B17"/>
    <w:rsid w:val="3AE2417B"/>
    <w:rsid w:val="3B033535"/>
    <w:rsid w:val="3B7474BE"/>
    <w:rsid w:val="3C294B49"/>
    <w:rsid w:val="3CAA4D96"/>
    <w:rsid w:val="3CAA5DA1"/>
    <w:rsid w:val="3D055E25"/>
    <w:rsid w:val="3D690AEA"/>
    <w:rsid w:val="3D8A3F82"/>
    <w:rsid w:val="3D8D6962"/>
    <w:rsid w:val="3EAE3593"/>
    <w:rsid w:val="3ED618CF"/>
    <w:rsid w:val="3ED71BC4"/>
    <w:rsid w:val="3F44325A"/>
    <w:rsid w:val="3F574E9D"/>
    <w:rsid w:val="3F866E83"/>
    <w:rsid w:val="3F910BA8"/>
    <w:rsid w:val="3FC82C97"/>
    <w:rsid w:val="40272F12"/>
    <w:rsid w:val="403756B6"/>
    <w:rsid w:val="405B1EC0"/>
    <w:rsid w:val="40CE1A60"/>
    <w:rsid w:val="40FE16A9"/>
    <w:rsid w:val="410B29D0"/>
    <w:rsid w:val="415A2929"/>
    <w:rsid w:val="41727979"/>
    <w:rsid w:val="41E77E3F"/>
    <w:rsid w:val="42071F7C"/>
    <w:rsid w:val="4256308C"/>
    <w:rsid w:val="429A3C1F"/>
    <w:rsid w:val="431C30A5"/>
    <w:rsid w:val="44EF5F1D"/>
    <w:rsid w:val="45986B74"/>
    <w:rsid w:val="46295DE3"/>
    <w:rsid w:val="468854B9"/>
    <w:rsid w:val="46B142B3"/>
    <w:rsid w:val="47241211"/>
    <w:rsid w:val="476B0AC9"/>
    <w:rsid w:val="482253DF"/>
    <w:rsid w:val="484D1FD1"/>
    <w:rsid w:val="48917998"/>
    <w:rsid w:val="48D179B4"/>
    <w:rsid w:val="49557BE9"/>
    <w:rsid w:val="49E67AC7"/>
    <w:rsid w:val="4A157243"/>
    <w:rsid w:val="4A167256"/>
    <w:rsid w:val="4ADD4B34"/>
    <w:rsid w:val="4AE04D8E"/>
    <w:rsid w:val="4AF729F0"/>
    <w:rsid w:val="4B321EE0"/>
    <w:rsid w:val="4B3626E7"/>
    <w:rsid w:val="4B4F678C"/>
    <w:rsid w:val="4B723864"/>
    <w:rsid w:val="4BC64D2A"/>
    <w:rsid w:val="4BE328EE"/>
    <w:rsid w:val="4C000054"/>
    <w:rsid w:val="4C0C76E4"/>
    <w:rsid w:val="4C322E9C"/>
    <w:rsid w:val="4CF70FF9"/>
    <w:rsid w:val="4D3F4845"/>
    <w:rsid w:val="4E8C4E2F"/>
    <w:rsid w:val="4F285975"/>
    <w:rsid w:val="4FA3480A"/>
    <w:rsid w:val="4FB450A7"/>
    <w:rsid w:val="5003599A"/>
    <w:rsid w:val="507C315D"/>
    <w:rsid w:val="50A074CD"/>
    <w:rsid w:val="50E7345E"/>
    <w:rsid w:val="51124AE8"/>
    <w:rsid w:val="51E75B23"/>
    <w:rsid w:val="5212205E"/>
    <w:rsid w:val="5229281D"/>
    <w:rsid w:val="52F63148"/>
    <w:rsid w:val="536A69FC"/>
    <w:rsid w:val="53832D3E"/>
    <w:rsid w:val="53E42BB2"/>
    <w:rsid w:val="544205D8"/>
    <w:rsid w:val="55377A04"/>
    <w:rsid w:val="553D6236"/>
    <w:rsid w:val="557A65F4"/>
    <w:rsid w:val="55B0208B"/>
    <w:rsid w:val="55C8160F"/>
    <w:rsid w:val="55D33BDD"/>
    <w:rsid w:val="55FF0AAF"/>
    <w:rsid w:val="56602DBA"/>
    <w:rsid w:val="56E1662C"/>
    <w:rsid w:val="577744EB"/>
    <w:rsid w:val="581C19A0"/>
    <w:rsid w:val="589021B0"/>
    <w:rsid w:val="58922DAE"/>
    <w:rsid w:val="589E5A3D"/>
    <w:rsid w:val="58E26920"/>
    <w:rsid w:val="59100071"/>
    <w:rsid w:val="5923730C"/>
    <w:rsid w:val="59461A87"/>
    <w:rsid w:val="5975674E"/>
    <w:rsid w:val="59A55233"/>
    <w:rsid w:val="5A3A3BA5"/>
    <w:rsid w:val="5AC03C61"/>
    <w:rsid w:val="5AF140DA"/>
    <w:rsid w:val="5B4D08B9"/>
    <w:rsid w:val="5B4D0EAE"/>
    <w:rsid w:val="5B8D6B84"/>
    <w:rsid w:val="5C50704D"/>
    <w:rsid w:val="5C6B1600"/>
    <w:rsid w:val="5C9F1155"/>
    <w:rsid w:val="5CA438CC"/>
    <w:rsid w:val="5CA533ED"/>
    <w:rsid w:val="5CC04A7C"/>
    <w:rsid w:val="5CD00CA5"/>
    <w:rsid w:val="5CDC0244"/>
    <w:rsid w:val="5D405C9A"/>
    <w:rsid w:val="5D7E58AC"/>
    <w:rsid w:val="5DD97E97"/>
    <w:rsid w:val="5EE40DBE"/>
    <w:rsid w:val="5FD603D4"/>
    <w:rsid w:val="5FDF0586"/>
    <w:rsid w:val="60C950D2"/>
    <w:rsid w:val="60CF253F"/>
    <w:rsid w:val="61A30307"/>
    <w:rsid w:val="61A70CB8"/>
    <w:rsid w:val="6219385F"/>
    <w:rsid w:val="623B15A8"/>
    <w:rsid w:val="627C27D4"/>
    <w:rsid w:val="636C3188"/>
    <w:rsid w:val="643F3E70"/>
    <w:rsid w:val="64C14DB4"/>
    <w:rsid w:val="65283CF7"/>
    <w:rsid w:val="65C33046"/>
    <w:rsid w:val="65EC4E18"/>
    <w:rsid w:val="667E6FF4"/>
    <w:rsid w:val="66F278D0"/>
    <w:rsid w:val="679F1A88"/>
    <w:rsid w:val="67AF7868"/>
    <w:rsid w:val="67E67E83"/>
    <w:rsid w:val="67F00011"/>
    <w:rsid w:val="68007253"/>
    <w:rsid w:val="68126760"/>
    <w:rsid w:val="68BA76B1"/>
    <w:rsid w:val="68CA4168"/>
    <w:rsid w:val="697277F4"/>
    <w:rsid w:val="69A65B1A"/>
    <w:rsid w:val="69A954EE"/>
    <w:rsid w:val="69C01BDA"/>
    <w:rsid w:val="69D0670D"/>
    <w:rsid w:val="69EC595B"/>
    <w:rsid w:val="69FA586F"/>
    <w:rsid w:val="6A927C33"/>
    <w:rsid w:val="6AEC1741"/>
    <w:rsid w:val="6B4F3F91"/>
    <w:rsid w:val="6B82475B"/>
    <w:rsid w:val="6C114FCD"/>
    <w:rsid w:val="6C3B3325"/>
    <w:rsid w:val="6CE40607"/>
    <w:rsid w:val="6D906033"/>
    <w:rsid w:val="6DC63E40"/>
    <w:rsid w:val="6E1B6611"/>
    <w:rsid w:val="6FA711A2"/>
    <w:rsid w:val="6FBE7B6F"/>
    <w:rsid w:val="705022E5"/>
    <w:rsid w:val="7076105C"/>
    <w:rsid w:val="70DF16F9"/>
    <w:rsid w:val="71BE3FEA"/>
    <w:rsid w:val="72035EF6"/>
    <w:rsid w:val="721D4A9E"/>
    <w:rsid w:val="72C13436"/>
    <w:rsid w:val="72F01C91"/>
    <w:rsid w:val="730D029D"/>
    <w:rsid w:val="73464580"/>
    <w:rsid w:val="739435BF"/>
    <w:rsid w:val="73A4679E"/>
    <w:rsid w:val="744661C0"/>
    <w:rsid w:val="74613523"/>
    <w:rsid w:val="74B9066F"/>
    <w:rsid w:val="751342BB"/>
    <w:rsid w:val="751B75DC"/>
    <w:rsid w:val="755A368A"/>
    <w:rsid w:val="759E73E3"/>
    <w:rsid w:val="76332B2C"/>
    <w:rsid w:val="766209E5"/>
    <w:rsid w:val="76B9256D"/>
    <w:rsid w:val="76C56FB0"/>
    <w:rsid w:val="774A15ED"/>
    <w:rsid w:val="774F21D7"/>
    <w:rsid w:val="77680B14"/>
    <w:rsid w:val="77A17A18"/>
    <w:rsid w:val="78C974D1"/>
    <w:rsid w:val="78F82D2D"/>
    <w:rsid w:val="78FC6B29"/>
    <w:rsid w:val="79661900"/>
    <w:rsid w:val="79C7434C"/>
    <w:rsid w:val="7ACD7CC8"/>
    <w:rsid w:val="7B0E640E"/>
    <w:rsid w:val="7B982494"/>
    <w:rsid w:val="7BE20961"/>
    <w:rsid w:val="7BFF0CEE"/>
    <w:rsid w:val="7C2B0102"/>
    <w:rsid w:val="7C5073B8"/>
    <w:rsid w:val="7CF82C30"/>
    <w:rsid w:val="7D0D58CF"/>
    <w:rsid w:val="7DB25A43"/>
    <w:rsid w:val="7E3E2B42"/>
    <w:rsid w:val="7E723DC7"/>
    <w:rsid w:val="7EF77295"/>
    <w:rsid w:val="7F67446F"/>
    <w:rsid w:val="7F821384"/>
    <w:rsid w:val="7F8A0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List Paragraph1"/>
    <w:basedOn w:val="1"/>
    <w:autoRedefine/>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87874-BDE8-443F-ACFA-0ABECD712AA2}">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1</Pages>
  <Words>836</Words>
  <Characters>873</Characters>
  <Lines>8</Lines>
  <Paragraphs>2</Paragraphs>
  <TotalTime>1</TotalTime>
  <ScaleCrop>false</ScaleCrop>
  <LinksUpToDate>false</LinksUpToDate>
  <CharactersWithSpaces>897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2020-01-07T08:46:00Z</dcterms:created>
  <dc:creator>雨林木风</dc:creator>
  <cp:lastModifiedBy>Z</cp:lastModifiedBy>
  <cp:lastPrinted>2018-11-13T12:53:00Z</cp:lastPrinted>
  <dcterms:modified xsi:type="dcterms:W3CDTF">2024-07-09T09:12:50Z</dcterms:modified>
  <dc:title>总  说  明</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A12B733DE7B7461AABC13C9B9B32ACFC</vt:lpwstr>
  </property>
</Properties>
</file>