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0C8263">
      <w:pPr>
        <w:jc w:val="center"/>
        <w:rPr>
          <w:b/>
          <w:sz w:val="32"/>
          <w:szCs w:val="32"/>
        </w:rPr>
      </w:pPr>
      <w:r>
        <w:rPr>
          <w:rFonts w:hint="eastAsia"/>
          <w:b/>
          <w:sz w:val="32"/>
          <w:szCs w:val="32"/>
        </w:rPr>
        <w:t>招标工程量清单编制说明</w:t>
      </w:r>
    </w:p>
    <w:p w14:paraId="36C8A103">
      <w:pPr>
        <w:spacing w:line="360" w:lineRule="auto"/>
        <w:ind w:firstLine="442" w:firstLineChars="200"/>
        <w:rPr>
          <w:rFonts w:asciiTheme="minorEastAsia" w:hAnsiTheme="minorEastAsia"/>
          <w:b/>
          <w:sz w:val="22"/>
        </w:rPr>
      </w:pPr>
      <w:r>
        <w:rPr>
          <w:rFonts w:hint="eastAsia" w:asciiTheme="minorEastAsia" w:hAnsiTheme="minorEastAsia"/>
          <w:b/>
          <w:sz w:val="22"/>
        </w:rPr>
        <w:t>一、工程概况</w:t>
      </w:r>
    </w:p>
    <w:p w14:paraId="1194ACA3">
      <w:pPr>
        <w:spacing w:line="360" w:lineRule="auto"/>
        <w:ind w:firstLine="440" w:firstLineChars="200"/>
        <w:rPr>
          <w:rFonts w:hint="default" w:asciiTheme="minorEastAsia" w:hAnsiTheme="minorEastAsia"/>
          <w:color w:val="FF0000"/>
          <w:sz w:val="22"/>
          <w:lang w:val="en-US" w:eastAsia="zh-CN"/>
        </w:rPr>
      </w:pPr>
      <w:r>
        <w:rPr>
          <w:rFonts w:hint="eastAsia" w:asciiTheme="minorEastAsia" w:hAnsiTheme="minorEastAsia"/>
          <w:color w:val="FF0000"/>
          <w:sz w:val="22"/>
          <w:lang w:val="en-US" w:eastAsia="zh-CN"/>
        </w:rPr>
        <w:t>南京大学鼓楼校区四号开闭所高压电缆敷设工程土建部分，北园校区2台前置环网柜(1#HWG、2#HWG)的设备基础、前置环网柜至附近汉口路现状电缆沟及至1#、2#开闭所之间户外电缆排管土建工程。</w:t>
      </w:r>
    </w:p>
    <w:p w14:paraId="5525B74D">
      <w:pPr>
        <w:spacing w:line="360" w:lineRule="auto"/>
        <w:ind w:firstLine="442" w:firstLineChars="200"/>
        <w:rPr>
          <w:rFonts w:asciiTheme="minorEastAsia" w:hAnsiTheme="minorEastAsia"/>
          <w:b/>
          <w:sz w:val="22"/>
        </w:rPr>
      </w:pPr>
      <w:r>
        <w:rPr>
          <w:rFonts w:hint="eastAsia" w:asciiTheme="minorEastAsia" w:hAnsiTheme="minorEastAsia"/>
          <w:b/>
          <w:sz w:val="22"/>
        </w:rPr>
        <w:t>二、工程招标和分包范围</w:t>
      </w:r>
    </w:p>
    <w:p w14:paraId="51BD7784">
      <w:pPr>
        <w:spacing w:line="360" w:lineRule="auto"/>
        <w:ind w:firstLine="440" w:firstLineChars="200"/>
        <w:rPr>
          <w:rFonts w:hint="default" w:asciiTheme="minorEastAsia" w:hAnsiTheme="minorEastAsia"/>
          <w:color w:val="FF0000"/>
          <w:sz w:val="22"/>
          <w:lang w:val="en-US" w:eastAsia="zh-CN"/>
        </w:rPr>
      </w:pPr>
      <w:r>
        <w:rPr>
          <w:rFonts w:hint="eastAsia" w:asciiTheme="minorEastAsia" w:hAnsiTheme="minorEastAsia"/>
          <w:color w:val="FF0000"/>
          <w:sz w:val="22"/>
          <w:lang w:val="en-US" w:eastAsia="zh-CN"/>
        </w:rPr>
        <w:t>新建环网柜基础、电缆沟、电缆排管。</w:t>
      </w:r>
    </w:p>
    <w:p w14:paraId="03F52420">
      <w:pPr>
        <w:spacing w:line="360" w:lineRule="auto"/>
        <w:ind w:firstLine="442" w:firstLineChars="200"/>
        <w:rPr>
          <w:rFonts w:asciiTheme="minorEastAsia" w:hAnsiTheme="minorEastAsia"/>
          <w:sz w:val="22"/>
        </w:rPr>
      </w:pPr>
      <w:r>
        <w:rPr>
          <w:rFonts w:hint="eastAsia" w:asciiTheme="minorEastAsia" w:hAnsiTheme="minorEastAsia"/>
          <w:b/>
          <w:sz w:val="22"/>
        </w:rPr>
        <w:t>三、编制依据</w:t>
      </w:r>
    </w:p>
    <w:p w14:paraId="4CB809D5">
      <w:pPr>
        <w:spacing w:line="360" w:lineRule="auto"/>
        <w:ind w:firstLine="440" w:firstLineChars="200"/>
        <w:rPr>
          <w:rFonts w:hint="eastAsia" w:asciiTheme="minorEastAsia" w:hAnsiTheme="minorEastAsia"/>
          <w:sz w:val="22"/>
        </w:rPr>
      </w:pPr>
      <w:r>
        <w:rPr>
          <w:rFonts w:hint="eastAsia" w:asciiTheme="minorEastAsia" w:hAnsiTheme="minorEastAsia"/>
          <w:sz w:val="22"/>
        </w:rPr>
        <w:t>1、</w:t>
      </w:r>
      <w:r>
        <w:rPr>
          <w:rFonts w:hint="eastAsia" w:asciiTheme="minorEastAsia" w:hAnsiTheme="minorEastAsia"/>
          <w:color w:val="FF0000"/>
          <w:sz w:val="22"/>
          <w:lang w:val="en-US" w:eastAsia="zh-CN"/>
        </w:rPr>
        <w:t>南京华东电力设计研究院有限公司提供的设计图纸（2024年8月）</w:t>
      </w:r>
      <w:r>
        <w:rPr>
          <w:rFonts w:hint="eastAsia" w:asciiTheme="minorEastAsia" w:hAnsiTheme="minorEastAsia"/>
          <w:sz w:val="22"/>
        </w:rPr>
        <w:t>。</w:t>
      </w:r>
    </w:p>
    <w:p w14:paraId="3E9AFA5F">
      <w:pPr>
        <w:spacing w:line="360" w:lineRule="auto"/>
        <w:ind w:firstLine="440" w:firstLineChars="200"/>
        <w:rPr>
          <w:rFonts w:asciiTheme="minorEastAsia" w:hAnsiTheme="minorEastAsia"/>
          <w:b/>
          <w:color w:val="FF0000"/>
          <w:sz w:val="22"/>
        </w:rPr>
      </w:pPr>
      <w:r>
        <w:rPr>
          <w:rFonts w:hint="eastAsia" w:asciiTheme="minorEastAsia" w:hAnsiTheme="minorEastAsia"/>
          <w:sz w:val="22"/>
          <w:lang w:val="en-US" w:eastAsia="zh-CN"/>
        </w:rPr>
        <w:t>2</w:t>
      </w:r>
      <w:r>
        <w:rPr>
          <w:rFonts w:hint="eastAsia" w:asciiTheme="minorEastAsia" w:hAnsiTheme="minorEastAsia"/>
          <w:sz w:val="22"/>
        </w:rPr>
        <w:t>、计量规范：</w:t>
      </w:r>
    </w:p>
    <w:p w14:paraId="62BBF4FA">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①《建设工程工程量清单计价规范》（GB50500-2013）</w:t>
      </w:r>
    </w:p>
    <w:p w14:paraId="2F9EDBA2">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②《房屋建筑与装饰工程工程量计算规范》（GB50854-2013）</w:t>
      </w:r>
    </w:p>
    <w:p w14:paraId="0C5E175E">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③《</w:t>
      </w:r>
      <w:r>
        <w:rPr>
          <w:rFonts w:hint="eastAsia" w:asciiTheme="minorEastAsia" w:hAnsiTheme="minorEastAsia"/>
          <w:color w:val="00B0F0"/>
          <w:sz w:val="22"/>
          <w:lang w:eastAsia="zh-CN"/>
        </w:rPr>
        <w:t>市政工程</w:t>
      </w:r>
      <w:r>
        <w:rPr>
          <w:rFonts w:hint="eastAsia" w:asciiTheme="minorEastAsia" w:hAnsiTheme="minorEastAsia"/>
          <w:color w:val="00B0F0"/>
          <w:sz w:val="22"/>
        </w:rPr>
        <w:t>工程量计算规范》（GB50</w:t>
      </w:r>
      <w:r>
        <w:rPr>
          <w:rFonts w:hint="eastAsia" w:asciiTheme="minorEastAsia" w:hAnsiTheme="minorEastAsia"/>
          <w:color w:val="00B0F0"/>
          <w:sz w:val="22"/>
          <w:lang w:val="en-US" w:eastAsia="zh-CN"/>
        </w:rPr>
        <w:t>857</w:t>
      </w:r>
      <w:r>
        <w:rPr>
          <w:rFonts w:hint="eastAsia" w:asciiTheme="minorEastAsia" w:hAnsiTheme="minorEastAsia"/>
          <w:color w:val="00B0F0"/>
          <w:sz w:val="22"/>
        </w:rPr>
        <w:t>-2013）</w:t>
      </w:r>
    </w:p>
    <w:p w14:paraId="5774C408">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④现行相关补充或调整文件</w:t>
      </w:r>
    </w:p>
    <w:p w14:paraId="47E5FCA8">
      <w:pPr>
        <w:spacing w:line="360" w:lineRule="auto"/>
        <w:ind w:firstLine="440" w:firstLineChars="200"/>
        <w:rPr>
          <w:rFonts w:asciiTheme="minorEastAsia" w:hAnsiTheme="minorEastAsia"/>
          <w:sz w:val="22"/>
        </w:rPr>
      </w:pPr>
      <w:r>
        <w:rPr>
          <w:rFonts w:hint="eastAsia" w:asciiTheme="minorEastAsia" w:hAnsiTheme="minorEastAsia"/>
          <w:sz w:val="22"/>
          <w:lang w:val="en-US" w:eastAsia="zh-CN"/>
        </w:rPr>
        <w:t>3</w:t>
      </w:r>
      <w:r>
        <w:rPr>
          <w:rFonts w:hint="eastAsia" w:asciiTheme="minorEastAsia" w:hAnsiTheme="minorEastAsia"/>
          <w:sz w:val="22"/>
        </w:rPr>
        <w:t>、与本工程项目有关的标准、施工规范与验收规范。</w:t>
      </w:r>
    </w:p>
    <w:p w14:paraId="76F84767">
      <w:pPr>
        <w:spacing w:line="360" w:lineRule="auto"/>
        <w:ind w:firstLine="442" w:firstLineChars="200"/>
        <w:rPr>
          <w:rFonts w:asciiTheme="minorEastAsia" w:hAnsiTheme="minorEastAsia"/>
          <w:sz w:val="22"/>
        </w:rPr>
      </w:pPr>
      <w:r>
        <w:rPr>
          <w:rFonts w:hint="eastAsia" w:asciiTheme="minorEastAsia" w:hAnsiTheme="minorEastAsia"/>
          <w:b/>
          <w:sz w:val="22"/>
        </w:rPr>
        <w:t>四、取费标准</w:t>
      </w:r>
    </w:p>
    <w:p w14:paraId="58275508">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1、《省住房城乡建设厅关于建筑业实施营改增后江苏省建设工程计价依据调整的通知》 苏建价（2016）154号文及相关附件。</w:t>
      </w:r>
    </w:p>
    <w:p w14:paraId="05F9FBC6">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2、《省住房城乡建设厅关于建筑业增值税计价政策调整的通知》苏建函价（2019）178号文。</w:t>
      </w:r>
    </w:p>
    <w:p w14:paraId="2C24CA33">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3、安全文明施工措施费计取基本费和扬尘污染防治增加费。</w:t>
      </w:r>
    </w:p>
    <w:p w14:paraId="04FCFA87">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4、《省住房城乡建设厅关于建筑工人实名制费用计取方法的公告》〔2019〕第19号</w:t>
      </w:r>
    </w:p>
    <w:p w14:paraId="7349D631">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5、依据《建设工程计价设备材料划分标准》（GB/T50531-2009）划分的设备以设备形式计入且不计取总价措施费及规费。</w:t>
      </w:r>
    </w:p>
    <w:p w14:paraId="742FEBEA">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6、政策性文件及报价参考执行投标截止日前省市建委造价有关文件，投标截止日后的省市建委造价文件不予执行。</w:t>
      </w:r>
    </w:p>
    <w:p w14:paraId="52ED276A">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7、人工工资参考江苏省建设工程人工工资指导价自主报价，其它费用按照省市建委发布的有关文件及政策规定等执行，报价参考执行投标截止日前省建设厅、市建委造价有关文件。</w:t>
      </w:r>
    </w:p>
    <w:p w14:paraId="3FB87D4D">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8、暂列金额及暂估价：</w:t>
      </w:r>
    </w:p>
    <w:p w14:paraId="292AF1E2">
      <w:pPr>
        <w:spacing w:line="360" w:lineRule="auto"/>
        <w:ind w:firstLine="440" w:firstLineChars="200"/>
        <w:rPr>
          <w:rFonts w:asciiTheme="minorEastAsia" w:hAnsiTheme="minorEastAsia"/>
          <w:b/>
          <w:color w:val="00B0F0"/>
          <w:sz w:val="22"/>
        </w:rPr>
      </w:pPr>
      <w:r>
        <w:rPr>
          <w:rFonts w:hint="eastAsia" w:asciiTheme="minorEastAsia" w:hAnsiTheme="minorEastAsia"/>
          <w:color w:val="00B0F0"/>
          <w:sz w:val="22"/>
        </w:rPr>
        <w:t>（1）暂列金额：</w:t>
      </w:r>
      <w:r>
        <w:rPr>
          <w:rFonts w:hint="eastAsia" w:asciiTheme="minorEastAsia" w:hAnsiTheme="minorEastAsia"/>
          <w:color w:val="FF0000"/>
          <w:sz w:val="22"/>
          <w:lang w:val="en-US" w:eastAsia="zh-CN"/>
        </w:rPr>
        <w:t>详见工程量清单</w:t>
      </w:r>
      <w:r>
        <w:rPr>
          <w:rFonts w:hint="eastAsia" w:asciiTheme="minorEastAsia" w:hAnsiTheme="minorEastAsia"/>
          <w:color w:val="FF0000"/>
          <w:sz w:val="22"/>
        </w:rPr>
        <w:t>。</w:t>
      </w:r>
    </w:p>
    <w:p w14:paraId="40E4A825">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（2）暂估价：</w:t>
      </w:r>
      <w:r>
        <w:rPr>
          <w:rFonts w:hint="eastAsia" w:asciiTheme="minorEastAsia" w:hAnsiTheme="minorEastAsia"/>
          <w:color w:val="FF0000"/>
          <w:sz w:val="22"/>
          <w:lang w:eastAsia="zh-CN"/>
        </w:rPr>
        <w:t>无</w:t>
      </w:r>
      <w:r>
        <w:rPr>
          <w:rFonts w:hint="eastAsia" w:asciiTheme="minorEastAsia" w:hAnsiTheme="minorEastAsia"/>
          <w:color w:val="FF0000"/>
          <w:sz w:val="22"/>
        </w:rPr>
        <w:t>。</w:t>
      </w:r>
    </w:p>
    <w:p w14:paraId="3FE11C16">
      <w:pPr>
        <w:spacing w:line="360" w:lineRule="auto"/>
        <w:ind w:firstLine="442" w:firstLineChars="200"/>
        <w:rPr>
          <w:rFonts w:hint="eastAsia" w:asciiTheme="minorEastAsia" w:hAnsiTheme="minorEastAsia"/>
          <w:b/>
          <w:sz w:val="22"/>
        </w:rPr>
      </w:pPr>
      <w:r>
        <w:rPr>
          <w:rFonts w:hint="eastAsia" w:asciiTheme="minorEastAsia" w:hAnsiTheme="minorEastAsia"/>
          <w:b/>
          <w:sz w:val="22"/>
        </w:rPr>
        <w:t>五、图纸及工程量计算中的相关说明</w:t>
      </w:r>
    </w:p>
    <w:p w14:paraId="267808C6">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1、通用部分</w:t>
      </w:r>
    </w:p>
    <w:p w14:paraId="784F3B80">
      <w:pPr>
        <w:spacing w:line="360" w:lineRule="auto"/>
        <w:ind w:firstLine="440" w:firstLineChars="200"/>
        <w:rPr>
          <w:rFonts w:asciiTheme="minorEastAsia" w:hAnsiTheme="minorEastAsia"/>
          <w:color w:val="00B0F0"/>
          <w:sz w:val="22"/>
          <w:highlight w:val="none"/>
        </w:rPr>
      </w:pPr>
      <w:r>
        <w:rPr>
          <w:rFonts w:hint="eastAsia" w:asciiTheme="minorEastAsia" w:hAnsiTheme="minorEastAsia"/>
          <w:color w:val="00B0F0"/>
          <w:sz w:val="22"/>
          <w:highlight w:val="none"/>
        </w:rPr>
        <w:t>（1）工程量清单应与招标文件、招标项目设计图纸等文件结合起来查阅与理解。工程量清单中所描述的项目特征仅为招标人对该分部分项目工程特征的概述，而非是工程特征的全面描述，报价时必须按设计图纸及相关的国家规范的要求。</w:t>
      </w:r>
    </w:p>
    <w:p w14:paraId="743C51F1">
      <w:pPr>
        <w:spacing w:line="360" w:lineRule="auto"/>
        <w:ind w:firstLine="440" w:firstLineChars="200"/>
        <w:rPr>
          <w:rFonts w:hint="eastAsia"/>
          <w:color w:val="00B0F0"/>
          <w:sz w:val="22"/>
        </w:rPr>
      </w:pPr>
      <w:r>
        <w:rPr>
          <w:rFonts w:hint="eastAsia"/>
          <w:color w:val="00B0F0"/>
          <w:sz w:val="22"/>
          <w:lang w:eastAsia="zh-CN"/>
        </w:rPr>
        <w:t>（</w:t>
      </w:r>
      <w:r>
        <w:rPr>
          <w:rFonts w:hint="eastAsia"/>
          <w:color w:val="00B0F0"/>
          <w:sz w:val="22"/>
          <w:lang w:val="en-US" w:eastAsia="zh-CN"/>
        </w:rPr>
        <w:t>2</w:t>
      </w:r>
      <w:r>
        <w:rPr>
          <w:rFonts w:hint="eastAsia"/>
          <w:color w:val="00B0F0"/>
          <w:sz w:val="22"/>
          <w:lang w:eastAsia="zh-CN"/>
        </w:rPr>
        <w:t>）</w:t>
      </w:r>
      <w:r>
        <w:rPr>
          <w:rFonts w:hint="eastAsia"/>
          <w:color w:val="00B0F0"/>
          <w:sz w:val="22"/>
        </w:rPr>
        <w:t>本工程所用砂浆皆为预拌砂浆，现场是否使用干拌或湿拌砂浆由投标人自行考虑，结算时不调整。</w:t>
      </w:r>
    </w:p>
    <w:p w14:paraId="7D2BED19">
      <w:pPr>
        <w:spacing w:line="360" w:lineRule="auto"/>
        <w:ind w:firstLine="440" w:firstLineChars="200"/>
        <w:rPr>
          <w:rFonts w:hint="eastAsia"/>
          <w:color w:val="00B0F0"/>
          <w:sz w:val="22"/>
        </w:rPr>
      </w:pPr>
      <w:r>
        <w:rPr>
          <w:rFonts w:hint="eastAsia"/>
          <w:color w:val="00B0F0"/>
          <w:sz w:val="22"/>
          <w:lang w:eastAsia="zh-CN"/>
        </w:rPr>
        <w:t>（</w:t>
      </w:r>
      <w:r>
        <w:rPr>
          <w:rFonts w:hint="eastAsia"/>
          <w:color w:val="00B0F0"/>
          <w:sz w:val="22"/>
          <w:lang w:val="en-US" w:eastAsia="zh-CN"/>
        </w:rPr>
        <w:t>3</w:t>
      </w:r>
      <w:r>
        <w:rPr>
          <w:rFonts w:hint="eastAsia"/>
          <w:color w:val="00B0F0"/>
          <w:sz w:val="22"/>
          <w:lang w:eastAsia="zh-CN"/>
        </w:rPr>
        <w:t>）</w:t>
      </w:r>
      <w:r>
        <w:rPr>
          <w:rFonts w:hint="eastAsia"/>
          <w:color w:val="00B0F0"/>
          <w:sz w:val="22"/>
        </w:rPr>
        <w:t>大型机械进出场费用投标人综合考虑，结算时不再调整。</w:t>
      </w:r>
    </w:p>
    <w:p w14:paraId="616EA5E0">
      <w:pPr>
        <w:spacing w:line="360" w:lineRule="auto"/>
        <w:ind w:firstLine="440" w:firstLineChars="200"/>
        <w:rPr>
          <w:rFonts w:hint="eastAsia"/>
          <w:color w:val="00B0F0"/>
          <w:sz w:val="22"/>
        </w:rPr>
      </w:pPr>
      <w:r>
        <w:rPr>
          <w:rFonts w:hint="eastAsia"/>
          <w:color w:val="00B0F0"/>
          <w:sz w:val="22"/>
          <w:lang w:eastAsia="zh-CN"/>
        </w:rPr>
        <w:t>（</w:t>
      </w:r>
      <w:r>
        <w:rPr>
          <w:rFonts w:hint="eastAsia"/>
          <w:color w:val="00B0F0"/>
          <w:sz w:val="22"/>
          <w:lang w:val="en-US" w:eastAsia="zh-CN"/>
        </w:rPr>
        <w:t>4</w:t>
      </w:r>
      <w:r>
        <w:rPr>
          <w:rFonts w:hint="eastAsia"/>
          <w:color w:val="00B0F0"/>
          <w:sz w:val="22"/>
          <w:lang w:eastAsia="zh-CN"/>
        </w:rPr>
        <w:t>）</w:t>
      </w:r>
      <w:r>
        <w:rPr>
          <w:rFonts w:hint="eastAsia"/>
          <w:color w:val="00B0F0"/>
          <w:sz w:val="22"/>
        </w:rPr>
        <w:t>投标人在投标报价时结合现场实际情况考虑夜间施工及围挡防护安全，结算时不再调整。</w:t>
      </w:r>
    </w:p>
    <w:p w14:paraId="4F429025">
      <w:pPr>
        <w:spacing w:line="360" w:lineRule="auto"/>
        <w:ind w:firstLine="440" w:firstLineChars="200"/>
        <w:rPr>
          <w:rFonts w:hint="eastAsia"/>
          <w:color w:val="00B0F0"/>
          <w:sz w:val="22"/>
          <w:lang w:val="zh-CN"/>
        </w:rPr>
      </w:pPr>
      <w:r>
        <w:rPr>
          <w:rFonts w:hint="eastAsia"/>
          <w:color w:val="00B0F0"/>
          <w:sz w:val="22"/>
          <w:lang w:eastAsia="zh-CN"/>
        </w:rPr>
        <w:t>（</w:t>
      </w:r>
      <w:r>
        <w:rPr>
          <w:rFonts w:hint="eastAsia"/>
          <w:color w:val="00B0F0"/>
          <w:sz w:val="22"/>
          <w:lang w:val="en-US" w:eastAsia="zh-CN"/>
        </w:rPr>
        <w:t>5</w:t>
      </w:r>
      <w:r>
        <w:rPr>
          <w:rFonts w:hint="eastAsia"/>
          <w:color w:val="00B0F0"/>
          <w:sz w:val="22"/>
          <w:lang w:eastAsia="zh-CN"/>
        </w:rPr>
        <w:t>）</w:t>
      </w:r>
      <w:r>
        <w:rPr>
          <w:rFonts w:hint="eastAsia"/>
          <w:color w:val="00B0F0"/>
          <w:sz w:val="22"/>
          <w:lang w:val="zh-CN"/>
        </w:rPr>
        <w:t>措施费项目投标单位可自行增添内容，自行报价，未计放部分按优惠考虑，结算时不再调整，投标人在报价中应充分考虑所涉及的各项措施费及风险因素后再进行报价，</w:t>
      </w:r>
      <w:r>
        <w:rPr>
          <w:rFonts w:hint="eastAsia"/>
          <w:color w:val="00B0F0"/>
          <w:sz w:val="22"/>
        </w:rPr>
        <w:t>不可竞争费按规定报价。</w:t>
      </w:r>
    </w:p>
    <w:p w14:paraId="682EA527">
      <w:pPr>
        <w:spacing w:line="360" w:lineRule="auto"/>
        <w:ind w:firstLine="440" w:firstLineChars="200"/>
        <w:rPr>
          <w:rFonts w:hint="eastAsia"/>
          <w:color w:val="00B0F0"/>
          <w:sz w:val="22"/>
          <w:lang w:val="zh-CN"/>
        </w:rPr>
      </w:pPr>
      <w:r>
        <w:rPr>
          <w:rFonts w:hint="eastAsia"/>
          <w:color w:val="00B0F0"/>
          <w:sz w:val="22"/>
          <w:lang w:eastAsia="zh-CN"/>
        </w:rPr>
        <w:t>（</w:t>
      </w:r>
      <w:r>
        <w:rPr>
          <w:rFonts w:hint="eastAsia"/>
          <w:color w:val="00B0F0"/>
          <w:sz w:val="22"/>
          <w:lang w:val="en-US" w:eastAsia="zh-CN"/>
        </w:rPr>
        <w:t>6</w:t>
      </w:r>
      <w:r>
        <w:rPr>
          <w:rFonts w:hint="eastAsia"/>
          <w:color w:val="00B0F0"/>
          <w:sz w:val="22"/>
          <w:lang w:eastAsia="zh-CN"/>
        </w:rPr>
        <w:t>）</w:t>
      </w:r>
      <w:r>
        <w:rPr>
          <w:rFonts w:hint="eastAsia"/>
          <w:color w:val="00B0F0"/>
          <w:sz w:val="22"/>
          <w:lang w:val="zh-CN"/>
        </w:rPr>
        <w:t>施工现场、交通运输情况及自然地理条件由投标人自行现场勘察，应充分考虑本工程场地现状的特点，可能对工程施工造成的影响并由此增加的费用等，做出考量一并考虑在投标报价中。</w:t>
      </w:r>
    </w:p>
    <w:p w14:paraId="159B59E2">
      <w:pPr>
        <w:spacing w:line="360" w:lineRule="auto"/>
        <w:ind w:firstLine="440" w:firstLineChars="200"/>
        <w:rPr>
          <w:rFonts w:hint="eastAsia"/>
          <w:color w:val="00B0F0"/>
          <w:sz w:val="22"/>
          <w:lang w:val="zh-CN"/>
        </w:rPr>
      </w:pPr>
      <w:r>
        <w:rPr>
          <w:rFonts w:hint="eastAsia"/>
          <w:color w:val="00B0F0"/>
          <w:sz w:val="22"/>
          <w:lang w:eastAsia="zh-CN"/>
        </w:rPr>
        <w:t>（</w:t>
      </w:r>
      <w:r>
        <w:rPr>
          <w:rFonts w:hint="eastAsia"/>
          <w:color w:val="00B0F0"/>
          <w:sz w:val="22"/>
          <w:lang w:val="en-US" w:eastAsia="zh-CN"/>
        </w:rPr>
        <w:t>7</w:t>
      </w:r>
      <w:r>
        <w:rPr>
          <w:rFonts w:hint="eastAsia"/>
          <w:color w:val="00B0F0"/>
          <w:sz w:val="22"/>
          <w:lang w:eastAsia="zh-CN"/>
        </w:rPr>
        <w:t>）</w:t>
      </w:r>
      <w:r>
        <w:rPr>
          <w:rFonts w:hint="eastAsia"/>
          <w:color w:val="00B0F0"/>
          <w:sz w:val="22"/>
          <w:lang w:val="zh-CN"/>
        </w:rPr>
        <w:t>清单中项目特征描述不详处，以图纸为准，投标报价时应考虑图纸所示施工要求等一切费用。</w:t>
      </w:r>
    </w:p>
    <w:p w14:paraId="34C7E987">
      <w:pPr>
        <w:spacing w:line="360" w:lineRule="auto"/>
        <w:ind w:firstLine="440" w:firstLineChars="200"/>
        <w:rPr>
          <w:rFonts w:hint="eastAsia"/>
          <w:color w:val="00B0F0"/>
          <w:sz w:val="22"/>
          <w:lang w:val="zh-CN"/>
        </w:rPr>
      </w:pPr>
      <w:r>
        <w:rPr>
          <w:rFonts w:hint="eastAsia"/>
          <w:color w:val="00B0F0"/>
          <w:sz w:val="22"/>
          <w:lang w:eastAsia="zh-CN"/>
        </w:rPr>
        <w:t>（</w:t>
      </w:r>
      <w:r>
        <w:rPr>
          <w:rFonts w:hint="eastAsia"/>
          <w:color w:val="00B0F0"/>
          <w:sz w:val="22"/>
          <w:lang w:val="en-US" w:eastAsia="zh-CN"/>
        </w:rPr>
        <w:t>8</w:t>
      </w:r>
      <w:r>
        <w:rPr>
          <w:rFonts w:hint="eastAsia"/>
          <w:color w:val="00B0F0"/>
          <w:sz w:val="22"/>
          <w:lang w:eastAsia="zh-CN"/>
        </w:rPr>
        <w:t>）</w:t>
      </w:r>
      <w:r>
        <w:rPr>
          <w:rFonts w:hint="eastAsia"/>
          <w:color w:val="00B0F0"/>
          <w:sz w:val="22"/>
          <w:lang w:val="zh-CN"/>
        </w:rPr>
        <w:t>工程量清单应与招标文件、招标项目图纸等文件结合起来查阅与理解。工程量清单中所描述的项目特征仅为招标人对该分部分项目工程特征的概述，而非是工程特征的全面描述，报价时必须按施工图纸及相关的国家规范的要求。</w:t>
      </w:r>
    </w:p>
    <w:p w14:paraId="20ACAE85">
      <w:pPr>
        <w:spacing w:line="360" w:lineRule="auto"/>
        <w:ind w:firstLine="440" w:firstLineChars="200"/>
        <w:rPr>
          <w:rFonts w:hint="eastAsia"/>
          <w:color w:val="00B0F0"/>
          <w:sz w:val="22"/>
        </w:rPr>
      </w:pPr>
      <w:r>
        <w:rPr>
          <w:rFonts w:hint="eastAsia"/>
          <w:color w:val="00B0F0"/>
          <w:sz w:val="22"/>
          <w:lang w:eastAsia="zh-CN"/>
        </w:rPr>
        <w:t>（</w:t>
      </w:r>
      <w:r>
        <w:rPr>
          <w:rFonts w:hint="eastAsia"/>
          <w:color w:val="00B0F0"/>
          <w:sz w:val="22"/>
          <w:lang w:val="en-US" w:eastAsia="zh-CN"/>
        </w:rPr>
        <w:t>9</w:t>
      </w:r>
      <w:r>
        <w:rPr>
          <w:rFonts w:hint="eastAsia"/>
          <w:color w:val="00B0F0"/>
          <w:sz w:val="22"/>
          <w:lang w:eastAsia="zh-CN"/>
        </w:rPr>
        <w:t>）</w:t>
      </w:r>
      <w:r>
        <w:rPr>
          <w:rFonts w:hint="eastAsia"/>
          <w:color w:val="00B0F0"/>
          <w:sz w:val="22"/>
        </w:rPr>
        <w:t>投标人应对图纸内容和清单中的每一个项目进行报价（包括综合单价及合价），如漏报或少报项目，则视为其费用已含在其它项目的综合单价或合价中，结算时不调整。</w:t>
      </w:r>
    </w:p>
    <w:p w14:paraId="1A647A35">
      <w:pPr>
        <w:spacing w:line="360" w:lineRule="auto"/>
        <w:ind w:firstLine="440" w:firstLineChars="200"/>
        <w:rPr>
          <w:rFonts w:hint="eastAsia"/>
          <w:color w:val="00B0F0"/>
          <w:sz w:val="22"/>
        </w:rPr>
      </w:pPr>
      <w:r>
        <w:rPr>
          <w:rFonts w:hint="eastAsia"/>
          <w:color w:val="00B0F0"/>
          <w:sz w:val="22"/>
          <w:lang w:eastAsia="zh-CN"/>
        </w:rPr>
        <w:t>（</w:t>
      </w:r>
      <w:r>
        <w:rPr>
          <w:rFonts w:hint="eastAsia"/>
          <w:color w:val="00B0F0"/>
          <w:sz w:val="22"/>
          <w:lang w:val="en-US" w:eastAsia="zh-CN"/>
        </w:rPr>
        <w:t>10</w:t>
      </w:r>
      <w:r>
        <w:rPr>
          <w:rFonts w:hint="eastAsia"/>
          <w:color w:val="00B0F0"/>
          <w:sz w:val="22"/>
          <w:lang w:eastAsia="zh-CN"/>
        </w:rPr>
        <w:t>）</w:t>
      </w:r>
      <w:r>
        <w:rPr>
          <w:rFonts w:hint="eastAsia"/>
          <w:color w:val="00B0F0"/>
          <w:sz w:val="22"/>
        </w:rPr>
        <w:t>工程量清单中的总价措施项目费用除安全文明措施费用按规定费率调整外，其余措施项目费用由投标单位踏勘现场后，根据施工组织设计及有关现行施工要求自行考虑完整计入投标报价中。措施费应包括场内外运输、机械进退场、临时设施、材料周转、垂直运输、二次搬运、高压防护、赶工措施、机械停置、噪音排污、围挡、非夜间施工照明费、夜间施工费、冬雨季施工、地上、地下设施、建筑物的临时保护设施、已完工程及设备保护、赶工措施、管线调查与保护、已完工程及设备保护费、交通协调以及根据本招标文件要求的风险金等全部费用。未计入部分按优惠考虑、结算时不再调整。</w:t>
      </w:r>
    </w:p>
    <w:p w14:paraId="55096379">
      <w:pPr>
        <w:spacing w:line="360" w:lineRule="auto"/>
        <w:ind w:firstLine="440" w:firstLineChars="200"/>
        <w:rPr>
          <w:rFonts w:hint="eastAsia"/>
          <w:color w:val="00B0F0"/>
          <w:sz w:val="22"/>
          <w:szCs w:val="22"/>
          <w:lang w:val="zh-CN" w:eastAsia="zh-CN"/>
        </w:rPr>
      </w:pPr>
      <w:r>
        <w:rPr>
          <w:rFonts w:hint="eastAsia"/>
          <w:color w:val="00B0F0"/>
          <w:sz w:val="22"/>
          <w:szCs w:val="22"/>
          <w:lang w:val="en-US" w:eastAsia="zh-CN"/>
        </w:rPr>
        <w:t>（11）</w:t>
      </w:r>
      <w:r>
        <w:rPr>
          <w:rFonts w:hint="eastAsia"/>
          <w:color w:val="00B0F0"/>
          <w:sz w:val="22"/>
          <w:szCs w:val="22"/>
          <w:lang w:val="zh-CN" w:eastAsia="zh-CN"/>
        </w:rPr>
        <w:t>施工现场、交通运输情况及自然地理条件由投标人自行现场勘察，应充分考虑本工程场地现状的特点，可能对工程施工造成的影响并由此增加的费用等，做出考量一并考虑在投标报价中。</w:t>
      </w:r>
    </w:p>
    <w:p w14:paraId="58CDAE35">
      <w:pPr>
        <w:spacing w:line="360" w:lineRule="auto"/>
        <w:ind w:firstLine="440" w:firstLineChars="200"/>
        <w:rPr>
          <w:rFonts w:asciiTheme="minorEastAsia" w:hAnsiTheme="minorEastAsia"/>
          <w:color w:val="00B0F0"/>
          <w:sz w:val="22"/>
          <w:highlight w:val="yellow"/>
        </w:rPr>
      </w:pPr>
      <w:r>
        <w:rPr>
          <w:rFonts w:hint="eastAsia"/>
          <w:color w:val="00B0F0"/>
          <w:sz w:val="22"/>
          <w:szCs w:val="22"/>
          <w:lang w:val="en-US" w:eastAsia="zh-CN"/>
        </w:rPr>
        <w:t>（12）</w:t>
      </w:r>
      <w:r>
        <w:rPr>
          <w:rFonts w:hint="eastAsia"/>
          <w:color w:val="00B0F0"/>
          <w:sz w:val="22"/>
          <w:szCs w:val="22"/>
          <w:lang w:val="zh-CN" w:eastAsia="zh-CN"/>
        </w:rPr>
        <w:t>各投标人在进行综合报价时必须结合施工图、招标文件中的相关条款及清单描述进行报价，清单子目中未能对各节点详图进行完全性描述的必须结合施工图详细节点进行报价，否则视为已计入相应项目综合单价内，中标后将不调整综合单价。若施工图、招标文件中相关</w:t>
      </w:r>
      <w:r>
        <w:rPr>
          <w:rFonts w:hint="eastAsia"/>
          <w:color w:val="00B0F0"/>
          <w:sz w:val="22"/>
          <w:lang w:val="zh-CN"/>
        </w:rPr>
        <w:t>条款及清单描述有冲突的，投标人应在“澄清答疑”环节中向招标人提出，招标人将在“澄清答疑”环节中答复；投标人未在“澄清答疑”环节提出的，则最终解释权归属于招标人。</w:t>
      </w:r>
    </w:p>
    <w:p w14:paraId="1C6F1921">
      <w:pPr>
        <w:spacing w:line="360" w:lineRule="auto"/>
        <w:ind w:firstLine="440" w:firstLineChars="200"/>
        <w:rPr>
          <w:rFonts w:hint="eastAsia"/>
          <w:color w:val="00B0F0"/>
          <w:sz w:val="22"/>
          <w:szCs w:val="22"/>
          <w:lang w:val="en-US" w:eastAsia="zh-CN"/>
        </w:rPr>
      </w:pPr>
      <w:r>
        <w:rPr>
          <w:rFonts w:hint="eastAsia"/>
          <w:color w:val="00B0F0"/>
          <w:sz w:val="22"/>
          <w:szCs w:val="22"/>
          <w:lang w:val="en-US" w:eastAsia="zh-CN"/>
        </w:rPr>
        <w:t>2、拆除工程</w:t>
      </w:r>
    </w:p>
    <w:p w14:paraId="1953F384">
      <w:pPr>
        <w:spacing w:line="360" w:lineRule="auto"/>
        <w:ind w:firstLine="440" w:firstLineChars="200"/>
        <w:rPr>
          <w:rFonts w:hint="eastAsia"/>
          <w:color w:val="00B0F0"/>
          <w:sz w:val="22"/>
          <w:szCs w:val="22"/>
          <w:lang w:val="en-US" w:eastAsia="zh-CN"/>
        </w:rPr>
      </w:pPr>
      <w:r>
        <w:rPr>
          <w:rFonts w:hint="eastAsia"/>
          <w:color w:val="00B0F0"/>
          <w:sz w:val="22"/>
          <w:szCs w:val="22"/>
          <w:lang w:val="en-US" w:eastAsia="zh-CN"/>
        </w:rPr>
        <w:t>（1）水泥路面拆除、清理、打堆，厚度，运距投标人自行勘察现场综合考虑，结算时工程量按实调整，综合</w:t>
      </w:r>
      <w:bookmarkStart w:id="0" w:name="_GoBack"/>
      <w:bookmarkEnd w:id="0"/>
      <w:r>
        <w:rPr>
          <w:rFonts w:hint="eastAsia"/>
          <w:color w:val="00B0F0"/>
          <w:sz w:val="22"/>
          <w:szCs w:val="22"/>
          <w:lang w:val="en-US" w:eastAsia="zh-CN"/>
        </w:rPr>
        <w:t>单价固定。</w:t>
      </w:r>
    </w:p>
    <w:p w14:paraId="321C02C8">
      <w:pPr>
        <w:spacing w:line="360" w:lineRule="auto"/>
        <w:ind w:firstLine="440" w:firstLineChars="200"/>
        <w:rPr>
          <w:rFonts w:hint="eastAsia"/>
          <w:color w:val="00B0F0"/>
          <w:sz w:val="22"/>
          <w:szCs w:val="22"/>
          <w:lang w:val="en-US" w:eastAsia="zh-CN"/>
        </w:rPr>
      </w:pPr>
      <w:r>
        <w:rPr>
          <w:rFonts w:hint="eastAsia"/>
          <w:color w:val="00B0F0"/>
          <w:sz w:val="22"/>
          <w:szCs w:val="22"/>
          <w:lang w:val="en-US" w:eastAsia="zh-CN"/>
        </w:rPr>
        <w:t>3、土建工程</w:t>
      </w:r>
    </w:p>
    <w:p w14:paraId="58935794">
      <w:pPr>
        <w:spacing w:line="360" w:lineRule="auto"/>
        <w:ind w:firstLine="440" w:firstLineChars="200"/>
        <w:rPr>
          <w:rFonts w:hint="eastAsia"/>
          <w:color w:val="00B0F0"/>
          <w:sz w:val="22"/>
          <w:szCs w:val="22"/>
          <w:lang w:val="en-US" w:eastAsia="zh-CN"/>
        </w:rPr>
      </w:pPr>
      <w:r>
        <w:rPr>
          <w:rFonts w:hint="eastAsia"/>
          <w:color w:val="00B0F0"/>
          <w:sz w:val="22"/>
          <w:szCs w:val="22"/>
          <w:lang w:val="en-US" w:eastAsia="zh-CN"/>
        </w:rPr>
        <w:t>（1）回填层绿化带部分原状土回填，路面人行道部分暂按二灰砂考虑；</w:t>
      </w:r>
    </w:p>
    <w:p w14:paraId="0F1105BF">
      <w:pPr>
        <w:spacing w:line="360" w:lineRule="auto"/>
        <w:ind w:firstLine="440" w:firstLineChars="200"/>
        <w:rPr>
          <w:rFonts w:hint="eastAsia"/>
          <w:color w:val="00B0F0"/>
          <w:sz w:val="22"/>
          <w:szCs w:val="22"/>
          <w:lang w:val="en-US" w:eastAsia="zh-CN"/>
        </w:rPr>
      </w:pPr>
      <w:r>
        <w:rPr>
          <w:rFonts w:hint="eastAsia"/>
          <w:color w:val="00B0F0"/>
          <w:sz w:val="22"/>
          <w:szCs w:val="22"/>
          <w:lang w:val="en-US" w:eastAsia="zh-CN"/>
        </w:rPr>
        <w:t>（2）电缆排管填充层绿化带部分为素混凝土，路面人行道部分为钢筋混凝土；</w:t>
      </w:r>
    </w:p>
    <w:p w14:paraId="0946ACD0">
      <w:pPr>
        <w:spacing w:line="360" w:lineRule="auto"/>
        <w:ind w:firstLine="440" w:firstLineChars="200"/>
        <w:rPr>
          <w:rFonts w:hint="default"/>
          <w:color w:val="00B0F0"/>
          <w:sz w:val="22"/>
          <w:szCs w:val="22"/>
          <w:lang w:val="en-US" w:eastAsia="zh-CN"/>
        </w:rPr>
      </w:pPr>
      <w:r>
        <w:rPr>
          <w:rFonts w:hint="eastAsia"/>
          <w:color w:val="00B0F0"/>
          <w:sz w:val="22"/>
          <w:szCs w:val="22"/>
          <w:lang w:val="en-US" w:eastAsia="zh-CN"/>
        </w:rPr>
        <w:t>（3）电缆排管管枕、堵头投标人综合考虑在报价里，结算时不调整；</w:t>
      </w:r>
    </w:p>
    <w:p w14:paraId="02302170">
      <w:pPr>
        <w:spacing w:line="360" w:lineRule="auto"/>
        <w:ind w:firstLine="440" w:firstLineChars="200"/>
        <w:rPr>
          <w:rFonts w:hint="default"/>
          <w:color w:val="00B0F0"/>
          <w:sz w:val="22"/>
          <w:szCs w:val="22"/>
          <w:lang w:val="en-US" w:eastAsia="zh-CN"/>
        </w:rPr>
      </w:pPr>
      <w:r>
        <w:rPr>
          <w:rFonts w:hint="eastAsia"/>
          <w:color w:val="00B0F0"/>
          <w:sz w:val="22"/>
          <w:szCs w:val="22"/>
          <w:lang w:val="en-US" w:eastAsia="zh-CN"/>
        </w:rPr>
        <w:t>（4）水泥路面恢复投标人自行勘察现场综合考虑，结算时工程量按实调整，综合单价固定；</w:t>
      </w:r>
    </w:p>
    <w:p w14:paraId="6407DE16">
      <w:pPr>
        <w:spacing w:line="360" w:lineRule="auto"/>
        <w:ind w:firstLine="440" w:firstLineChars="200"/>
        <w:rPr>
          <w:rFonts w:hint="eastAsia"/>
          <w:color w:val="00B0F0"/>
          <w:sz w:val="22"/>
          <w:szCs w:val="22"/>
          <w:lang w:val="en-US" w:eastAsia="zh-CN"/>
        </w:rPr>
      </w:pPr>
      <w:r>
        <w:rPr>
          <w:rFonts w:hint="eastAsia"/>
          <w:color w:val="00B0F0"/>
          <w:sz w:val="22"/>
          <w:szCs w:val="22"/>
          <w:lang w:val="en-US" w:eastAsia="zh-CN"/>
        </w:rPr>
        <w:t>（4）电缆沟内安装支架投标人综合考虑在报价里，结算时不调整；</w:t>
      </w:r>
    </w:p>
    <w:p w14:paraId="30CAC18C">
      <w:pPr>
        <w:spacing w:line="360" w:lineRule="auto"/>
        <w:ind w:firstLine="440" w:firstLineChars="200"/>
        <w:rPr>
          <w:rFonts w:hint="eastAsia"/>
          <w:color w:val="00B0F0"/>
          <w:sz w:val="22"/>
          <w:szCs w:val="22"/>
          <w:lang w:val="en-US" w:eastAsia="zh-CN"/>
        </w:rPr>
      </w:pPr>
      <w:r>
        <w:rPr>
          <w:rFonts w:hint="eastAsia"/>
          <w:color w:val="00B0F0"/>
          <w:sz w:val="22"/>
          <w:szCs w:val="22"/>
          <w:lang w:val="en-US" w:eastAsia="zh-CN"/>
        </w:rPr>
        <w:t>（5）车棚沟槽开挖工作面按两边各300考虑；</w:t>
      </w:r>
    </w:p>
    <w:p w14:paraId="0DF4AAF4">
      <w:pPr>
        <w:spacing w:line="360" w:lineRule="auto"/>
        <w:ind w:firstLine="440" w:firstLineChars="200"/>
        <w:rPr>
          <w:rFonts w:hint="default"/>
          <w:color w:val="00B0F0"/>
          <w:sz w:val="22"/>
          <w:szCs w:val="22"/>
          <w:lang w:val="en-US" w:eastAsia="zh-CN"/>
        </w:rPr>
      </w:pPr>
      <w:r>
        <w:rPr>
          <w:rFonts w:hint="eastAsia"/>
          <w:color w:val="00B0F0"/>
          <w:sz w:val="22"/>
          <w:szCs w:val="22"/>
          <w:lang w:val="en-US" w:eastAsia="zh-CN"/>
        </w:rPr>
        <w:t>（6）围墙恢复做法参考图集12J003F2。</w:t>
      </w:r>
    </w:p>
    <w:p w14:paraId="7777C9DF">
      <w:pPr>
        <w:spacing w:line="360" w:lineRule="auto"/>
        <w:ind w:firstLine="442" w:firstLineChars="200"/>
        <w:rPr>
          <w:rFonts w:asciiTheme="minorEastAsia" w:hAnsiTheme="minorEastAsia"/>
          <w:b/>
          <w:sz w:val="22"/>
        </w:rPr>
      </w:pPr>
      <w:r>
        <w:rPr>
          <w:rFonts w:hint="eastAsia" w:asciiTheme="minorEastAsia" w:hAnsiTheme="minorEastAsia"/>
          <w:b/>
          <w:sz w:val="22"/>
        </w:rPr>
        <w:t>六、主要材料设备</w:t>
      </w:r>
    </w:p>
    <w:p w14:paraId="03601321">
      <w:pPr>
        <w:spacing w:line="360" w:lineRule="auto"/>
        <w:ind w:firstLine="442" w:firstLineChars="200"/>
        <w:rPr>
          <w:rFonts w:asciiTheme="minorEastAsia" w:hAnsiTheme="minorEastAsia"/>
          <w:b/>
          <w:sz w:val="22"/>
        </w:rPr>
      </w:pPr>
      <w:r>
        <w:rPr>
          <w:rFonts w:hint="eastAsia" w:asciiTheme="minorEastAsia" w:hAnsiTheme="minorEastAsia"/>
          <w:b/>
          <w:sz w:val="22"/>
        </w:rPr>
        <w:t>（一）投标人负责采购的主要材料设备</w:t>
      </w:r>
    </w:p>
    <w:p w14:paraId="3311A559">
      <w:pPr>
        <w:spacing w:line="360" w:lineRule="auto"/>
        <w:ind w:firstLine="440" w:firstLineChars="200"/>
        <w:rPr>
          <w:rFonts w:asciiTheme="minorEastAsia" w:hAnsiTheme="minorEastAsia"/>
          <w:sz w:val="22"/>
        </w:rPr>
      </w:pPr>
      <w:r>
        <w:rPr>
          <w:rFonts w:hint="eastAsia" w:asciiTheme="minorEastAsia" w:hAnsiTheme="minorEastAsia"/>
          <w:sz w:val="22"/>
        </w:rPr>
        <w:t>本次招标要求投标人在投标时根据招标人提供的主要材料推荐品牌明确投标所选的品牌。投标人拟选择推荐的品牌以外的品牌时，必须满足相关技术标准和质量要求，并在“澄清答疑”环节中向招标人提出具体推荐品牌，招标人将在“澄清答疑”环节中答复是否同意。否则中标后，招标人有权要求中标人使用推荐品牌表中的品牌，价格不作调整。投标人未在“澄清答疑”环节提出的，视为认可招标人推荐的主要材料品牌。</w:t>
      </w:r>
    </w:p>
    <w:p w14:paraId="0CF09DA0">
      <w:pPr>
        <w:spacing w:line="360" w:lineRule="auto"/>
        <w:ind w:firstLine="440" w:firstLineChars="200"/>
        <w:rPr>
          <w:rFonts w:asciiTheme="minorEastAsia" w:hAnsiTheme="minorEastAsia"/>
          <w:sz w:val="22"/>
        </w:rPr>
      </w:pPr>
      <w:r>
        <w:rPr>
          <w:rFonts w:hint="eastAsia" w:asciiTheme="minorEastAsia" w:hAnsiTheme="minorEastAsia"/>
          <w:sz w:val="22"/>
        </w:rPr>
        <w:t>1、本项目主要材料品牌推荐表如下：</w:t>
      </w:r>
    </w:p>
    <w:tbl>
      <w:tblPr>
        <w:tblStyle w:val="7"/>
        <w:tblW w:w="492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3"/>
        <w:gridCol w:w="1856"/>
        <w:gridCol w:w="1945"/>
        <w:gridCol w:w="3662"/>
        <w:gridCol w:w="993"/>
      </w:tblGrid>
      <w:tr w14:paraId="6CC19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1BA636B5">
            <w:pPr>
              <w:spacing w:line="360" w:lineRule="auto"/>
              <w:jc w:val="center"/>
              <w:rPr>
                <w:rFonts w:asciiTheme="minorEastAsia" w:hAnsiTheme="minorEastAsia"/>
                <w:color w:val="00B0F0"/>
                <w:sz w:val="22"/>
              </w:rPr>
            </w:pPr>
            <w:r>
              <w:rPr>
                <w:rFonts w:hint="eastAsia" w:asciiTheme="minorEastAsia" w:hAnsiTheme="minorEastAsia"/>
                <w:color w:val="00B0F0"/>
                <w:sz w:val="22"/>
              </w:rPr>
              <w:t>序号</w:t>
            </w:r>
          </w:p>
        </w:tc>
        <w:tc>
          <w:tcPr>
            <w:tcW w:w="1856" w:type="dxa"/>
            <w:vAlign w:val="center"/>
          </w:tcPr>
          <w:p w14:paraId="523F452A">
            <w:pPr>
              <w:spacing w:line="360" w:lineRule="auto"/>
              <w:jc w:val="center"/>
              <w:rPr>
                <w:rFonts w:asciiTheme="minorEastAsia" w:hAnsiTheme="minorEastAsia"/>
                <w:color w:val="00B0F0"/>
                <w:sz w:val="22"/>
              </w:rPr>
            </w:pPr>
            <w:r>
              <w:rPr>
                <w:rFonts w:hint="eastAsia" w:asciiTheme="minorEastAsia" w:hAnsiTheme="minorEastAsia"/>
                <w:color w:val="00B0F0"/>
                <w:sz w:val="22"/>
              </w:rPr>
              <w:t>材料设备名称</w:t>
            </w:r>
          </w:p>
        </w:tc>
        <w:tc>
          <w:tcPr>
            <w:tcW w:w="1945" w:type="dxa"/>
            <w:vAlign w:val="center"/>
          </w:tcPr>
          <w:p w14:paraId="3B9F7533">
            <w:pPr>
              <w:spacing w:line="360" w:lineRule="auto"/>
              <w:jc w:val="center"/>
              <w:rPr>
                <w:rFonts w:asciiTheme="minorEastAsia" w:hAnsiTheme="minorEastAsia"/>
                <w:color w:val="00B0F0"/>
                <w:sz w:val="22"/>
              </w:rPr>
            </w:pPr>
            <w:r>
              <w:rPr>
                <w:rFonts w:hint="eastAsia" w:asciiTheme="minorEastAsia" w:hAnsiTheme="minorEastAsia"/>
                <w:color w:val="00B0F0"/>
                <w:sz w:val="22"/>
              </w:rPr>
              <w:t>推荐品牌（系列）</w:t>
            </w:r>
          </w:p>
        </w:tc>
        <w:tc>
          <w:tcPr>
            <w:tcW w:w="3662" w:type="dxa"/>
            <w:vAlign w:val="center"/>
          </w:tcPr>
          <w:p w14:paraId="5B0D8AB3">
            <w:pPr>
              <w:spacing w:line="360" w:lineRule="auto"/>
              <w:jc w:val="center"/>
              <w:rPr>
                <w:rFonts w:asciiTheme="minorEastAsia" w:hAnsiTheme="minorEastAsia"/>
                <w:color w:val="00B0F0"/>
                <w:sz w:val="22"/>
              </w:rPr>
            </w:pPr>
            <w:r>
              <w:rPr>
                <w:rFonts w:hint="eastAsia" w:asciiTheme="minorEastAsia" w:hAnsiTheme="minorEastAsia"/>
                <w:color w:val="00B0F0"/>
                <w:sz w:val="22"/>
              </w:rPr>
              <w:t>制造商名称</w:t>
            </w:r>
          </w:p>
        </w:tc>
        <w:tc>
          <w:tcPr>
            <w:tcW w:w="993" w:type="dxa"/>
            <w:vAlign w:val="center"/>
          </w:tcPr>
          <w:p w14:paraId="43026A2C">
            <w:pPr>
              <w:spacing w:line="360" w:lineRule="auto"/>
              <w:jc w:val="center"/>
              <w:rPr>
                <w:rFonts w:asciiTheme="minorEastAsia" w:hAnsiTheme="minorEastAsia"/>
                <w:color w:val="00B0F0"/>
                <w:sz w:val="22"/>
              </w:rPr>
            </w:pPr>
            <w:r>
              <w:rPr>
                <w:rFonts w:hint="eastAsia" w:asciiTheme="minorEastAsia" w:hAnsiTheme="minorEastAsia"/>
                <w:color w:val="00B0F0"/>
                <w:sz w:val="22"/>
              </w:rPr>
              <w:t>备注</w:t>
            </w:r>
          </w:p>
        </w:tc>
      </w:tr>
      <w:tr w14:paraId="4A403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Merge w:val="restart"/>
            <w:vAlign w:val="center"/>
          </w:tcPr>
          <w:p w14:paraId="56288E09">
            <w:pPr>
              <w:spacing w:line="360" w:lineRule="auto"/>
              <w:jc w:val="center"/>
              <w:rPr>
                <w:rFonts w:hint="eastAsia" w:asciiTheme="minorEastAsia" w:hAnsiTheme="minorEastAsia" w:eastAsiaTheme="minorEastAsia" w:cstheme="minorEastAsia"/>
                <w:color w:val="FF0000"/>
                <w:sz w:val="22"/>
                <w:lang w:val="en-US" w:eastAsia="zh-CN"/>
              </w:rPr>
            </w:pPr>
            <w:r>
              <w:rPr>
                <w:rFonts w:hint="eastAsia" w:asciiTheme="minorEastAsia" w:hAnsiTheme="minorEastAsia" w:cstheme="minorEastAsia"/>
                <w:color w:val="FF0000"/>
                <w:sz w:val="22"/>
                <w:lang w:val="en-US" w:eastAsia="zh-CN"/>
              </w:rPr>
              <w:t>1</w:t>
            </w:r>
          </w:p>
        </w:tc>
        <w:tc>
          <w:tcPr>
            <w:tcW w:w="1856" w:type="dxa"/>
            <w:vMerge w:val="restart"/>
            <w:vAlign w:val="center"/>
          </w:tcPr>
          <w:p w14:paraId="0B7F98A7">
            <w:pPr>
              <w:spacing w:line="360" w:lineRule="auto"/>
              <w:jc w:val="center"/>
              <w:rPr>
                <w:rFonts w:asciiTheme="minorEastAsia" w:hAnsiTheme="minorEastAsia"/>
                <w:color w:val="FF0000"/>
                <w:sz w:val="22"/>
              </w:rPr>
            </w:pPr>
            <w:r>
              <w:rPr>
                <w:rFonts w:hint="eastAsia" w:asciiTheme="minorEastAsia" w:hAnsiTheme="minorEastAsia"/>
                <w:color w:val="FF0000"/>
                <w:sz w:val="22"/>
                <w:lang w:val="en-US" w:eastAsia="zh-CN"/>
              </w:rPr>
              <w:t>水泥</w:t>
            </w:r>
          </w:p>
        </w:tc>
        <w:tc>
          <w:tcPr>
            <w:tcW w:w="1945" w:type="dxa"/>
            <w:vAlign w:val="center"/>
          </w:tcPr>
          <w:p w14:paraId="0BEFCA0A">
            <w:pPr>
              <w:spacing w:line="360" w:lineRule="auto"/>
              <w:jc w:val="center"/>
              <w:rPr>
                <w:rFonts w:hint="eastAsia" w:asciiTheme="minorEastAsia" w:hAnsiTheme="minorEastAsia" w:eastAsiaTheme="minorEastAsia"/>
                <w:color w:val="FF0000"/>
                <w:sz w:val="22"/>
                <w:lang w:val="en-US" w:eastAsia="zh-CN"/>
              </w:rPr>
            </w:pPr>
            <w:r>
              <w:rPr>
                <w:rFonts w:hint="eastAsia" w:asciiTheme="minorEastAsia" w:hAnsiTheme="minorEastAsia"/>
                <w:color w:val="FF0000"/>
                <w:sz w:val="22"/>
              </w:rPr>
              <w:t>海螺</w:t>
            </w:r>
          </w:p>
        </w:tc>
        <w:tc>
          <w:tcPr>
            <w:tcW w:w="3662" w:type="dxa"/>
            <w:vAlign w:val="center"/>
          </w:tcPr>
          <w:p w14:paraId="765F5863">
            <w:pPr>
              <w:spacing w:line="360" w:lineRule="auto"/>
              <w:jc w:val="center"/>
              <w:rPr>
                <w:rFonts w:asciiTheme="minorEastAsia" w:hAnsiTheme="minorEastAsia"/>
                <w:color w:val="FF0000"/>
                <w:sz w:val="22"/>
              </w:rPr>
            </w:pPr>
            <w:r>
              <w:rPr>
                <w:rFonts w:hint="eastAsia" w:asciiTheme="minorEastAsia" w:hAnsiTheme="minorEastAsia"/>
                <w:color w:val="FF0000"/>
                <w:sz w:val="22"/>
              </w:rPr>
              <w:t>安徽海螺水泥股份有限公司</w:t>
            </w:r>
          </w:p>
        </w:tc>
        <w:tc>
          <w:tcPr>
            <w:tcW w:w="993" w:type="dxa"/>
            <w:vAlign w:val="center"/>
          </w:tcPr>
          <w:p w14:paraId="71F40BFC">
            <w:pPr>
              <w:spacing w:line="360" w:lineRule="auto"/>
              <w:jc w:val="center"/>
              <w:rPr>
                <w:rFonts w:asciiTheme="minorEastAsia" w:hAnsiTheme="minorEastAsia"/>
                <w:color w:val="FF0000"/>
                <w:sz w:val="22"/>
              </w:rPr>
            </w:pPr>
          </w:p>
        </w:tc>
      </w:tr>
      <w:tr w14:paraId="4C44E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Merge w:val="continue"/>
            <w:vAlign w:val="center"/>
          </w:tcPr>
          <w:p w14:paraId="054CA8A8">
            <w:pPr>
              <w:spacing w:line="360" w:lineRule="auto"/>
              <w:jc w:val="center"/>
              <w:rPr>
                <w:rFonts w:hint="eastAsia" w:asciiTheme="minorEastAsia" w:hAnsiTheme="minorEastAsia" w:eastAsiaTheme="minorEastAsia" w:cstheme="minorEastAsia"/>
                <w:color w:val="FF0000"/>
                <w:sz w:val="22"/>
              </w:rPr>
            </w:pPr>
          </w:p>
        </w:tc>
        <w:tc>
          <w:tcPr>
            <w:tcW w:w="1856" w:type="dxa"/>
            <w:vMerge w:val="continue"/>
            <w:vAlign w:val="center"/>
          </w:tcPr>
          <w:p w14:paraId="72A8C630">
            <w:pPr>
              <w:spacing w:line="360" w:lineRule="auto"/>
              <w:jc w:val="center"/>
              <w:rPr>
                <w:rFonts w:asciiTheme="minorEastAsia" w:hAnsiTheme="minorEastAsia"/>
                <w:color w:val="FF0000"/>
                <w:sz w:val="22"/>
              </w:rPr>
            </w:pPr>
          </w:p>
        </w:tc>
        <w:tc>
          <w:tcPr>
            <w:tcW w:w="1945" w:type="dxa"/>
            <w:vAlign w:val="center"/>
          </w:tcPr>
          <w:p w14:paraId="195C301D">
            <w:pPr>
              <w:spacing w:line="360" w:lineRule="auto"/>
              <w:jc w:val="center"/>
              <w:rPr>
                <w:rFonts w:asciiTheme="minorEastAsia" w:hAnsiTheme="minorEastAsia"/>
                <w:color w:val="FF0000"/>
                <w:sz w:val="22"/>
              </w:rPr>
            </w:pPr>
            <w:r>
              <w:rPr>
                <w:rFonts w:hint="eastAsia" w:asciiTheme="minorEastAsia" w:hAnsiTheme="minorEastAsia"/>
                <w:color w:val="FF0000"/>
                <w:sz w:val="22"/>
              </w:rPr>
              <w:t>鹤林</w:t>
            </w:r>
          </w:p>
        </w:tc>
        <w:tc>
          <w:tcPr>
            <w:tcW w:w="3662" w:type="dxa"/>
            <w:vAlign w:val="center"/>
          </w:tcPr>
          <w:p w14:paraId="71A4DB68">
            <w:pPr>
              <w:spacing w:line="360" w:lineRule="auto"/>
              <w:jc w:val="center"/>
              <w:rPr>
                <w:rFonts w:asciiTheme="minorEastAsia" w:hAnsiTheme="minorEastAsia"/>
                <w:color w:val="FF0000"/>
                <w:sz w:val="22"/>
              </w:rPr>
            </w:pPr>
            <w:r>
              <w:rPr>
                <w:rFonts w:hint="eastAsia" w:asciiTheme="minorEastAsia" w:hAnsiTheme="minorEastAsia"/>
                <w:color w:val="FF0000"/>
                <w:sz w:val="22"/>
              </w:rPr>
              <w:t>江苏鹤林水泥有限公司</w:t>
            </w:r>
          </w:p>
        </w:tc>
        <w:tc>
          <w:tcPr>
            <w:tcW w:w="993" w:type="dxa"/>
            <w:vAlign w:val="center"/>
          </w:tcPr>
          <w:p w14:paraId="4DBA1220">
            <w:pPr>
              <w:spacing w:line="360" w:lineRule="auto"/>
              <w:jc w:val="center"/>
              <w:rPr>
                <w:rFonts w:asciiTheme="minorEastAsia" w:hAnsiTheme="minorEastAsia"/>
                <w:color w:val="FF0000"/>
                <w:sz w:val="22"/>
              </w:rPr>
            </w:pPr>
          </w:p>
        </w:tc>
      </w:tr>
      <w:tr w14:paraId="45788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Merge w:val="continue"/>
            <w:vAlign w:val="center"/>
          </w:tcPr>
          <w:p w14:paraId="3E8A357F">
            <w:pPr>
              <w:spacing w:line="360" w:lineRule="auto"/>
              <w:jc w:val="center"/>
              <w:rPr>
                <w:rFonts w:hint="eastAsia" w:asciiTheme="minorEastAsia" w:hAnsiTheme="minorEastAsia" w:eastAsiaTheme="minorEastAsia" w:cstheme="minorEastAsia"/>
                <w:color w:val="FF0000"/>
                <w:sz w:val="22"/>
              </w:rPr>
            </w:pPr>
          </w:p>
        </w:tc>
        <w:tc>
          <w:tcPr>
            <w:tcW w:w="1856" w:type="dxa"/>
            <w:vMerge w:val="continue"/>
            <w:vAlign w:val="center"/>
          </w:tcPr>
          <w:p w14:paraId="784F1281">
            <w:pPr>
              <w:spacing w:line="360" w:lineRule="auto"/>
              <w:jc w:val="center"/>
              <w:rPr>
                <w:rFonts w:asciiTheme="minorEastAsia" w:hAnsiTheme="minorEastAsia"/>
                <w:color w:val="FF0000"/>
                <w:sz w:val="22"/>
              </w:rPr>
            </w:pPr>
          </w:p>
        </w:tc>
        <w:tc>
          <w:tcPr>
            <w:tcW w:w="1945" w:type="dxa"/>
            <w:vAlign w:val="center"/>
          </w:tcPr>
          <w:p w14:paraId="75BEC057">
            <w:pPr>
              <w:spacing w:line="360" w:lineRule="auto"/>
              <w:jc w:val="center"/>
              <w:rPr>
                <w:rFonts w:asciiTheme="minorEastAsia" w:hAnsiTheme="minorEastAsia"/>
                <w:color w:val="FF0000"/>
                <w:sz w:val="22"/>
              </w:rPr>
            </w:pPr>
            <w:r>
              <w:rPr>
                <w:rFonts w:hint="eastAsia" w:asciiTheme="minorEastAsia" w:hAnsiTheme="minorEastAsia"/>
                <w:color w:val="FF0000"/>
                <w:sz w:val="22"/>
              </w:rPr>
              <w:t>中联</w:t>
            </w:r>
          </w:p>
        </w:tc>
        <w:tc>
          <w:tcPr>
            <w:tcW w:w="3662" w:type="dxa"/>
            <w:vAlign w:val="center"/>
          </w:tcPr>
          <w:p w14:paraId="5A2106B9">
            <w:pPr>
              <w:spacing w:line="360" w:lineRule="auto"/>
              <w:jc w:val="center"/>
              <w:rPr>
                <w:rFonts w:asciiTheme="minorEastAsia" w:hAnsiTheme="minorEastAsia"/>
                <w:color w:val="FF0000"/>
                <w:sz w:val="22"/>
              </w:rPr>
            </w:pPr>
            <w:r>
              <w:rPr>
                <w:rFonts w:hint="eastAsia" w:asciiTheme="minorEastAsia" w:hAnsiTheme="minorEastAsia"/>
                <w:color w:val="FF0000"/>
                <w:sz w:val="22"/>
              </w:rPr>
              <w:t>中国联合水泥集团有限公司</w:t>
            </w:r>
          </w:p>
        </w:tc>
        <w:tc>
          <w:tcPr>
            <w:tcW w:w="993" w:type="dxa"/>
            <w:vAlign w:val="center"/>
          </w:tcPr>
          <w:p w14:paraId="72D93B4C">
            <w:pPr>
              <w:spacing w:line="360" w:lineRule="auto"/>
              <w:jc w:val="center"/>
              <w:rPr>
                <w:rFonts w:asciiTheme="minorEastAsia" w:hAnsiTheme="minorEastAsia"/>
                <w:color w:val="FF0000"/>
                <w:sz w:val="22"/>
              </w:rPr>
            </w:pPr>
          </w:p>
        </w:tc>
      </w:tr>
      <w:tr w14:paraId="78B2F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693" w:type="dxa"/>
            <w:vMerge w:val="restart"/>
            <w:vAlign w:val="center"/>
          </w:tcPr>
          <w:p w14:paraId="273AB206">
            <w:pPr>
              <w:spacing w:line="360" w:lineRule="auto"/>
              <w:jc w:val="center"/>
              <w:rPr>
                <w:rFonts w:hint="eastAsia" w:asciiTheme="minorEastAsia" w:hAnsiTheme="minorEastAsia" w:eastAsiaTheme="minorEastAsia" w:cstheme="minorEastAsia"/>
                <w:color w:val="FF0000"/>
                <w:sz w:val="22"/>
                <w:lang w:val="en-US" w:eastAsia="zh-CN"/>
              </w:rPr>
            </w:pPr>
            <w:r>
              <w:rPr>
                <w:rFonts w:hint="eastAsia" w:asciiTheme="minorEastAsia" w:hAnsiTheme="minorEastAsia" w:cstheme="minorEastAsia"/>
                <w:color w:val="FF0000"/>
                <w:sz w:val="22"/>
                <w:lang w:val="en-US" w:eastAsia="zh-CN"/>
              </w:rPr>
              <w:t>2</w:t>
            </w:r>
          </w:p>
        </w:tc>
        <w:tc>
          <w:tcPr>
            <w:tcW w:w="1856" w:type="dxa"/>
            <w:vMerge w:val="restart"/>
            <w:vAlign w:val="center"/>
          </w:tcPr>
          <w:p w14:paraId="60AFB464">
            <w:pPr>
              <w:spacing w:line="360" w:lineRule="auto"/>
              <w:jc w:val="center"/>
              <w:rPr>
                <w:rFonts w:hint="eastAsia" w:asciiTheme="minorEastAsia" w:hAnsiTheme="minorEastAsia" w:eastAsiaTheme="minorEastAsia"/>
                <w:color w:val="FF0000"/>
                <w:sz w:val="22"/>
                <w:lang w:val="en-US" w:eastAsia="zh-CN"/>
              </w:rPr>
            </w:pPr>
            <w:r>
              <w:rPr>
                <w:rFonts w:hint="eastAsia" w:asciiTheme="minorEastAsia" w:hAnsiTheme="minorEastAsia"/>
                <w:color w:val="FF0000"/>
                <w:sz w:val="22"/>
                <w:lang w:val="en-US" w:eastAsia="zh-CN"/>
              </w:rPr>
              <w:t>钢筋</w:t>
            </w:r>
          </w:p>
        </w:tc>
        <w:tc>
          <w:tcPr>
            <w:tcW w:w="1945" w:type="dxa"/>
            <w:vAlign w:val="center"/>
          </w:tcPr>
          <w:p w14:paraId="16FB2BB7">
            <w:pPr>
              <w:spacing w:line="360" w:lineRule="auto"/>
              <w:jc w:val="center"/>
              <w:rPr>
                <w:rFonts w:asciiTheme="minorEastAsia" w:hAnsiTheme="minorEastAsia"/>
                <w:color w:val="FF0000"/>
                <w:sz w:val="22"/>
              </w:rPr>
            </w:pPr>
            <w:r>
              <w:rPr>
                <w:rFonts w:hint="eastAsia" w:asciiTheme="minorEastAsia" w:hAnsiTheme="minorEastAsia"/>
                <w:color w:val="FF0000"/>
                <w:sz w:val="22"/>
              </w:rPr>
              <w:t>马钢</w:t>
            </w:r>
          </w:p>
        </w:tc>
        <w:tc>
          <w:tcPr>
            <w:tcW w:w="3662" w:type="dxa"/>
            <w:vAlign w:val="center"/>
          </w:tcPr>
          <w:p w14:paraId="3B577BBA">
            <w:pPr>
              <w:spacing w:line="360" w:lineRule="auto"/>
              <w:jc w:val="center"/>
              <w:rPr>
                <w:rFonts w:asciiTheme="minorEastAsia" w:hAnsiTheme="minorEastAsia"/>
                <w:color w:val="FF0000"/>
                <w:sz w:val="22"/>
              </w:rPr>
            </w:pPr>
            <w:r>
              <w:rPr>
                <w:rFonts w:hint="eastAsia" w:asciiTheme="minorEastAsia" w:hAnsiTheme="minorEastAsia"/>
                <w:color w:val="FF0000"/>
                <w:sz w:val="22"/>
              </w:rPr>
              <w:t>马鞍山钢铁股份有限公司</w:t>
            </w:r>
          </w:p>
        </w:tc>
        <w:tc>
          <w:tcPr>
            <w:tcW w:w="993" w:type="dxa"/>
            <w:vAlign w:val="center"/>
          </w:tcPr>
          <w:p w14:paraId="453BCEAD">
            <w:pPr>
              <w:spacing w:line="360" w:lineRule="auto"/>
              <w:jc w:val="center"/>
              <w:rPr>
                <w:rFonts w:asciiTheme="minorEastAsia" w:hAnsiTheme="minorEastAsia"/>
                <w:color w:val="FF0000"/>
                <w:sz w:val="22"/>
              </w:rPr>
            </w:pPr>
          </w:p>
        </w:tc>
      </w:tr>
      <w:tr w14:paraId="66B62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693" w:type="dxa"/>
            <w:vMerge w:val="continue"/>
            <w:vAlign w:val="center"/>
          </w:tcPr>
          <w:p w14:paraId="55F8B401">
            <w:pPr>
              <w:spacing w:line="360" w:lineRule="auto"/>
              <w:jc w:val="center"/>
              <w:rPr>
                <w:rFonts w:hint="eastAsia" w:asciiTheme="minorEastAsia" w:hAnsiTheme="minorEastAsia" w:cstheme="minorEastAsia"/>
                <w:color w:val="FF0000"/>
                <w:sz w:val="22"/>
                <w:lang w:val="en-US" w:eastAsia="zh-CN"/>
              </w:rPr>
            </w:pPr>
          </w:p>
        </w:tc>
        <w:tc>
          <w:tcPr>
            <w:tcW w:w="1856" w:type="dxa"/>
            <w:vMerge w:val="continue"/>
            <w:vAlign w:val="center"/>
          </w:tcPr>
          <w:p w14:paraId="4C6ABFEC">
            <w:pPr>
              <w:spacing w:line="360" w:lineRule="auto"/>
              <w:jc w:val="center"/>
              <w:rPr>
                <w:rFonts w:hint="eastAsia" w:asciiTheme="minorEastAsia" w:hAnsiTheme="minorEastAsia"/>
                <w:color w:val="FF0000"/>
                <w:sz w:val="22"/>
              </w:rPr>
            </w:pPr>
          </w:p>
        </w:tc>
        <w:tc>
          <w:tcPr>
            <w:tcW w:w="1945" w:type="dxa"/>
            <w:vAlign w:val="center"/>
          </w:tcPr>
          <w:p w14:paraId="2F272453">
            <w:pPr>
              <w:spacing w:line="360" w:lineRule="auto"/>
              <w:jc w:val="center"/>
              <w:rPr>
                <w:rFonts w:hint="eastAsia" w:asciiTheme="minorEastAsia" w:hAnsiTheme="minorEastAsia"/>
                <w:color w:val="FF0000"/>
                <w:sz w:val="22"/>
              </w:rPr>
            </w:pPr>
            <w:r>
              <w:rPr>
                <w:rFonts w:hint="eastAsia" w:asciiTheme="minorEastAsia" w:hAnsiTheme="minorEastAsia"/>
                <w:color w:val="FF0000"/>
                <w:sz w:val="22"/>
              </w:rPr>
              <w:t>沙钢</w:t>
            </w:r>
          </w:p>
        </w:tc>
        <w:tc>
          <w:tcPr>
            <w:tcW w:w="3662" w:type="dxa"/>
            <w:vAlign w:val="center"/>
          </w:tcPr>
          <w:p w14:paraId="0F4C8E55">
            <w:pPr>
              <w:spacing w:line="360" w:lineRule="auto"/>
              <w:jc w:val="center"/>
              <w:rPr>
                <w:rFonts w:hint="eastAsia" w:asciiTheme="minorEastAsia" w:hAnsiTheme="minorEastAsia"/>
                <w:color w:val="FF0000"/>
                <w:sz w:val="22"/>
              </w:rPr>
            </w:pPr>
            <w:r>
              <w:rPr>
                <w:rFonts w:hint="eastAsia" w:asciiTheme="minorEastAsia" w:hAnsiTheme="minorEastAsia"/>
                <w:color w:val="FF0000"/>
                <w:sz w:val="22"/>
              </w:rPr>
              <w:t>江苏沙钢集团有限公司</w:t>
            </w:r>
          </w:p>
        </w:tc>
        <w:tc>
          <w:tcPr>
            <w:tcW w:w="993" w:type="dxa"/>
            <w:vAlign w:val="center"/>
          </w:tcPr>
          <w:p w14:paraId="3528FE04">
            <w:pPr>
              <w:spacing w:line="360" w:lineRule="auto"/>
              <w:jc w:val="center"/>
              <w:rPr>
                <w:rFonts w:asciiTheme="minorEastAsia" w:hAnsiTheme="minorEastAsia"/>
                <w:color w:val="FF0000"/>
                <w:sz w:val="22"/>
              </w:rPr>
            </w:pPr>
          </w:p>
        </w:tc>
      </w:tr>
      <w:tr w14:paraId="4C3CC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Merge w:val="continue"/>
            <w:vAlign w:val="center"/>
          </w:tcPr>
          <w:p w14:paraId="21ECF142">
            <w:pPr>
              <w:spacing w:line="360" w:lineRule="auto"/>
              <w:jc w:val="center"/>
              <w:rPr>
                <w:rFonts w:hint="eastAsia" w:asciiTheme="minorEastAsia" w:hAnsiTheme="minorEastAsia" w:eastAsiaTheme="minorEastAsia" w:cstheme="minorEastAsia"/>
                <w:color w:val="FF0000"/>
                <w:sz w:val="22"/>
              </w:rPr>
            </w:pPr>
          </w:p>
        </w:tc>
        <w:tc>
          <w:tcPr>
            <w:tcW w:w="1856" w:type="dxa"/>
            <w:vMerge w:val="continue"/>
            <w:vAlign w:val="center"/>
          </w:tcPr>
          <w:p w14:paraId="7D0ED2F0">
            <w:pPr>
              <w:spacing w:line="360" w:lineRule="auto"/>
              <w:jc w:val="center"/>
              <w:rPr>
                <w:rFonts w:asciiTheme="minorEastAsia" w:hAnsiTheme="minorEastAsia"/>
                <w:color w:val="FF0000"/>
                <w:sz w:val="22"/>
              </w:rPr>
            </w:pPr>
          </w:p>
        </w:tc>
        <w:tc>
          <w:tcPr>
            <w:tcW w:w="1945" w:type="dxa"/>
            <w:vAlign w:val="center"/>
          </w:tcPr>
          <w:p w14:paraId="5232C8B8">
            <w:pPr>
              <w:spacing w:line="360" w:lineRule="auto"/>
              <w:jc w:val="center"/>
              <w:rPr>
                <w:rFonts w:asciiTheme="minorEastAsia" w:hAnsiTheme="minorEastAsia"/>
                <w:color w:val="FF0000"/>
                <w:sz w:val="22"/>
              </w:rPr>
            </w:pPr>
            <w:r>
              <w:rPr>
                <w:rFonts w:hint="eastAsia" w:asciiTheme="minorEastAsia" w:hAnsiTheme="minorEastAsia"/>
                <w:color w:val="FF0000"/>
                <w:sz w:val="22"/>
              </w:rPr>
              <w:t>南钢</w:t>
            </w:r>
          </w:p>
        </w:tc>
        <w:tc>
          <w:tcPr>
            <w:tcW w:w="3662" w:type="dxa"/>
            <w:vAlign w:val="center"/>
          </w:tcPr>
          <w:p w14:paraId="5C782148">
            <w:pPr>
              <w:spacing w:line="360" w:lineRule="auto"/>
              <w:jc w:val="center"/>
              <w:rPr>
                <w:rFonts w:asciiTheme="minorEastAsia" w:hAnsiTheme="minorEastAsia"/>
                <w:color w:val="FF0000"/>
                <w:sz w:val="22"/>
              </w:rPr>
            </w:pPr>
            <w:r>
              <w:rPr>
                <w:rFonts w:hint="eastAsia" w:asciiTheme="minorEastAsia" w:hAnsiTheme="minorEastAsia"/>
                <w:color w:val="FF0000"/>
                <w:sz w:val="22"/>
              </w:rPr>
              <w:t>南京钢铁股份有限公司</w:t>
            </w:r>
          </w:p>
        </w:tc>
        <w:tc>
          <w:tcPr>
            <w:tcW w:w="993" w:type="dxa"/>
            <w:vAlign w:val="center"/>
          </w:tcPr>
          <w:p w14:paraId="7B9235F5">
            <w:pPr>
              <w:spacing w:line="360" w:lineRule="auto"/>
              <w:jc w:val="center"/>
              <w:rPr>
                <w:rFonts w:asciiTheme="minorEastAsia" w:hAnsiTheme="minorEastAsia"/>
                <w:color w:val="FF0000"/>
                <w:sz w:val="22"/>
              </w:rPr>
            </w:pPr>
          </w:p>
        </w:tc>
      </w:tr>
      <w:tr w14:paraId="08490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693" w:type="dxa"/>
            <w:vMerge w:val="continue"/>
            <w:vAlign w:val="center"/>
          </w:tcPr>
          <w:p w14:paraId="2AD06176">
            <w:pPr>
              <w:spacing w:line="360" w:lineRule="auto"/>
              <w:jc w:val="center"/>
              <w:rPr>
                <w:rFonts w:hint="eastAsia" w:asciiTheme="minorEastAsia" w:hAnsiTheme="minorEastAsia" w:eastAsiaTheme="minorEastAsia" w:cstheme="minorEastAsia"/>
                <w:color w:val="FF0000"/>
                <w:sz w:val="22"/>
              </w:rPr>
            </w:pPr>
          </w:p>
        </w:tc>
        <w:tc>
          <w:tcPr>
            <w:tcW w:w="1856" w:type="dxa"/>
            <w:vMerge w:val="continue"/>
            <w:vAlign w:val="center"/>
          </w:tcPr>
          <w:p w14:paraId="6DB96EFD">
            <w:pPr>
              <w:spacing w:line="360" w:lineRule="auto"/>
              <w:jc w:val="center"/>
              <w:rPr>
                <w:rFonts w:asciiTheme="minorEastAsia" w:hAnsiTheme="minorEastAsia"/>
                <w:color w:val="FF0000"/>
                <w:sz w:val="22"/>
              </w:rPr>
            </w:pPr>
          </w:p>
        </w:tc>
        <w:tc>
          <w:tcPr>
            <w:tcW w:w="1945" w:type="dxa"/>
            <w:vAlign w:val="center"/>
          </w:tcPr>
          <w:p w14:paraId="72A9EB82">
            <w:pPr>
              <w:spacing w:line="360" w:lineRule="auto"/>
              <w:jc w:val="center"/>
              <w:rPr>
                <w:rFonts w:asciiTheme="minorEastAsia" w:hAnsiTheme="minorEastAsia"/>
                <w:color w:val="FF0000"/>
                <w:sz w:val="22"/>
              </w:rPr>
            </w:pPr>
            <w:r>
              <w:rPr>
                <w:rFonts w:hint="eastAsia" w:asciiTheme="minorEastAsia" w:hAnsiTheme="minorEastAsia"/>
                <w:color w:val="FF0000"/>
                <w:sz w:val="22"/>
              </w:rPr>
              <w:t>永钢</w:t>
            </w:r>
          </w:p>
        </w:tc>
        <w:tc>
          <w:tcPr>
            <w:tcW w:w="3662" w:type="dxa"/>
            <w:vAlign w:val="center"/>
          </w:tcPr>
          <w:p w14:paraId="6070F439">
            <w:pPr>
              <w:spacing w:line="360" w:lineRule="auto"/>
              <w:jc w:val="center"/>
              <w:rPr>
                <w:rFonts w:asciiTheme="minorEastAsia" w:hAnsiTheme="minorEastAsia"/>
                <w:color w:val="FF0000"/>
                <w:sz w:val="22"/>
              </w:rPr>
            </w:pPr>
            <w:r>
              <w:rPr>
                <w:rFonts w:hint="eastAsia" w:asciiTheme="minorEastAsia" w:hAnsiTheme="minorEastAsia"/>
                <w:color w:val="FF0000"/>
                <w:sz w:val="22"/>
              </w:rPr>
              <w:t>江苏永钢集团有限公司</w:t>
            </w:r>
          </w:p>
        </w:tc>
        <w:tc>
          <w:tcPr>
            <w:tcW w:w="993" w:type="dxa"/>
            <w:vAlign w:val="center"/>
          </w:tcPr>
          <w:p w14:paraId="7186BA31">
            <w:pPr>
              <w:spacing w:line="360" w:lineRule="auto"/>
              <w:jc w:val="center"/>
              <w:rPr>
                <w:rFonts w:asciiTheme="minorEastAsia" w:hAnsiTheme="minorEastAsia"/>
                <w:color w:val="FF0000"/>
                <w:sz w:val="22"/>
              </w:rPr>
            </w:pPr>
          </w:p>
        </w:tc>
      </w:tr>
      <w:tr w14:paraId="3B4AA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Merge w:val="restart"/>
            <w:vAlign w:val="center"/>
          </w:tcPr>
          <w:p w14:paraId="268FF425">
            <w:pPr>
              <w:spacing w:line="360" w:lineRule="auto"/>
              <w:jc w:val="center"/>
              <w:rPr>
                <w:rFonts w:hint="default" w:asciiTheme="minorEastAsia" w:hAnsiTheme="minorEastAsia" w:eastAsiaTheme="minorEastAsia" w:cstheme="minorEastAsia"/>
                <w:color w:val="FF0000"/>
                <w:sz w:val="22"/>
                <w:lang w:val="en-US" w:eastAsia="zh-CN"/>
              </w:rPr>
            </w:pPr>
            <w:r>
              <w:rPr>
                <w:rFonts w:hint="eastAsia" w:asciiTheme="minorEastAsia" w:hAnsiTheme="minorEastAsia" w:cstheme="minorEastAsia"/>
                <w:color w:val="FF0000"/>
                <w:sz w:val="22"/>
                <w:lang w:val="en-US" w:eastAsia="zh-CN"/>
              </w:rPr>
              <w:t>3</w:t>
            </w:r>
          </w:p>
        </w:tc>
        <w:tc>
          <w:tcPr>
            <w:tcW w:w="1856" w:type="dxa"/>
            <w:vMerge w:val="restart"/>
            <w:vAlign w:val="center"/>
          </w:tcPr>
          <w:p w14:paraId="0251E1E0">
            <w:pPr>
              <w:spacing w:line="360" w:lineRule="auto"/>
              <w:jc w:val="center"/>
              <w:rPr>
                <w:rFonts w:asciiTheme="minorEastAsia" w:hAnsiTheme="minorEastAsia"/>
                <w:color w:val="FF0000"/>
                <w:sz w:val="22"/>
              </w:rPr>
            </w:pPr>
            <w:r>
              <w:rPr>
                <w:rFonts w:hint="eastAsia" w:asciiTheme="minorEastAsia" w:hAnsiTheme="minorEastAsia"/>
                <w:color w:val="FF0000"/>
                <w:sz w:val="22"/>
                <w:lang w:val="en-US" w:eastAsia="zh-CN"/>
              </w:rPr>
              <w:t>镀锌、热镀锌钢板</w:t>
            </w:r>
          </w:p>
        </w:tc>
        <w:tc>
          <w:tcPr>
            <w:tcW w:w="1945" w:type="dxa"/>
            <w:vAlign w:val="center"/>
          </w:tcPr>
          <w:p w14:paraId="6F474781">
            <w:pPr>
              <w:spacing w:line="360" w:lineRule="auto"/>
              <w:jc w:val="center"/>
              <w:rPr>
                <w:rFonts w:hint="eastAsia" w:asciiTheme="minorEastAsia" w:hAnsiTheme="minorEastAsia"/>
                <w:color w:val="FF0000"/>
                <w:sz w:val="22"/>
                <w:lang w:val="en-US" w:eastAsia="zh-CN"/>
              </w:rPr>
            </w:pPr>
            <w:r>
              <w:rPr>
                <w:rFonts w:hint="eastAsia" w:asciiTheme="minorEastAsia" w:hAnsiTheme="minorEastAsia"/>
                <w:color w:val="FF0000"/>
                <w:sz w:val="22"/>
                <w:lang w:val="en-US" w:eastAsia="zh-CN"/>
              </w:rPr>
              <w:t>马钢</w:t>
            </w:r>
          </w:p>
        </w:tc>
        <w:tc>
          <w:tcPr>
            <w:tcW w:w="3662" w:type="dxa"/>
            <w:vAlign w:val="center"/>
          </w:tcPr>
          <w:p w14:paraId="2E87B8A1">
            <w:pPr>
              <w:spacing w:line="360" w:lineRule="auto"/>
              <w:jc w:val="center"/>
              <w:rPr>
                <w:rFonts w:hint="eastAsia" w:asciiTheme="minorEastAsia" w:hAnsiTheme="minorEastAsia" w:eastAsiaTheme="minorEastAsia" w:cstheme="minorBidi"/>
                <w:color w:val="FF0000"/>
                <w:kern w:val="2"/>
                <w:sz w:val="22"/>
                <w:szCs w:val="22"/>
                <w:lang w:val="en-US" w:eastAsia="zh-CN" w:bidi="ar-SA"/>
              </w:rPr>
            </w:pPr>
            <w:r>
              <w:rPr>
                <w:rFonts w:hint="eastAsia" w:asciiTheme="minorEastAsia" w:hAnsiTheme="minorEastAsia"/>
                <w:color w:val="FF0000"/>
                <w:sz w:val="22"/>
                <w:lang w:val="en-US" w:eastAsia="zh-CN"/>
              </w:rPr>
              <w:t>马鞍山钢铁股份有限公司</w:t>
            </w:r>
          </w:p>
        </w:tc>
        <w:tc>
          <w:tcPr>
            <w:tcW w:w="993" w:type="dxa"/>
            <w:vAlign w:val="center"/>
          </w:tcPr>
          <w:p w14:paraId="2D0108E7">
            <w:pPr>
              <w:spacing w:line="360" w:lineRule="auto"/>
              <w:jc w:val="center"/>
              <w:rPr>
                <w:rFonts w:asciiTheme="minorEastAsia" w:hAnsiTheme="minorEastAsia"/>
                <w:color w:val="FF0000"/>
                <w:sz w:val="22"/>
              </w:rPr>
            </w:pPr>
          </w:p>
        </w:tc>
      </w:tr>
      <w:tr w14:paraId="01CA6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Merge w:val="continue"/>
            <w:vAlign w:val="center"/>
          </w:tcPr>
          <w:p w14:paraId="6121897F">
            <w:pPr>
              <w:spacing w:line="360" w:lineRule="auto"/>
              <w:jc w:val="center"/>
              <w:rPr>
                <w:rFonts w:hint="eastAsia" w:asciiTheme="minorEastAsia" w:hAnsiTheme="minorEastAsia" w:eastAsiaTheme="minorEastAsia" w:cstheme="minorEastAsia"/>
                <w:color w:val="FF0000"/>
                <w:sz w:val="22"/>
              </w:rPr>
            </w:pPr>
          </w:p>
        </w:tc>
        <w:tc>
          <w:tcPr>
            <w:tcW w:w="1856" w:type="dxa"/>
            <w:vMerge w:val="continue"/>
            <w:vAlign w:val="center"/>
          </w:tcPr>
          <w:p w14:paraId="254B8DF3">
            <w:pPr>
              <w:spacing w:line="360" w:lineRule="auto"/>
              <w:jc w:val="center"/>
              <w:rPr>
                <w:rFonts w:asciiTheme="minorEastAsia" w:hAnsiTheme="minorEastAsia"/>
                <w:color w:val="FF0000"/>
                <w:sz w:val="22"/>
              </w:rPr>
            </w:pPr>
          </w:p>
        </w:tc>
        <w:tc>
          <w:tcPr>
            <w:tcW w:w="1945" w:type="dxa"/>
            <w:vAlign w:val="center"/>
          </w:tcPr>
          <w:p w14:paraId="4AA258D2">
            <w:pPr>
              <w:spacing w:line="360" w:lineRule="auto"/>
              <w:jc w:val="center"/>
              <w:rPr>
                <w:rFonts w:hint="eastAsia" w:asciiTheme="minorEastAsia" w:hAnsiTheme="minorEastAsia"/>
                <w:color w:val="FF0000"/>
                <w:sz w:val="22"/>
                <w:lang w:val="en-US" w:eastAsia="zh-CN"/>
              </w:rPr>
            </w:pPr>
            <w:r>
              <w:rPr>
                <w:rFonts w:hint="eastAsia" w:asciiTheme="minorEastAsia" w:hAnsiTheme="minorEastAsia"/>
                <w:color w:val="FF0000"/>
                <w:sz w:val="22"/>
                <w:lang w:val="en-US" w:eastAsia="zh-CN"/>
              </w:rPr>
              <w:t>邯钢</w:t>
            </w:r>
          </w:p>
        </w:tc>
        <w:tc>
          <w:tcPr>
            <w:tcW w:w="3662" w:type="dxa"/>
            <w:vAlign w:val="center"/>
          </w:tcPr>
          <w:p w14:paraId="7120313C">
            <w:pPr>
              <w:spacing w:line="360" w:lineRule="auto"/>
              <w:jc w:val="center"/>
              <w:rPr>
                <w:rFonts w:hint="eastAsia" w:asciiTheme="minorEastAsia" w:hAnsiTheme="minorEastAsia" w:eastAsiaTheme="minorEastAsia" w:cstheme="minorBidi"/>
                <w:color w:val="FF0000"/>
                <w:kern w:val="2"/>
                <w:sz w:val="22"/>
                <w:szCs w:val="22"/>
                <w:lang w:val="en-US" w:eastAsia="zh-CN" w:bidi="ar-SA"/>
              </w:rPr>
            </w:pPr>
            <w:r>
              <w:rPr>
                <w:rFonts w:hint="eastAsia" w:asciiTheme="minorEastAsia" w:hAnsiTheme="minorEastAsia"/>
                <w:color w:val="FF0000"/>
                <w:sz w:val="22"/>
                <w:lang w:val="en-US" w:eastAsia="zh-CN"/>
              </w:rPr>
              <w:t>邯郸钢铁集团有限责任公司</w:t>
            </w:r>
          </w:p>
        </w:tc>
        <w:tc>
          <w:tcPr>
            <w:tcW w:w="993" w:type="dxa"/>
            <w:vAlign w:val="center"/>
          </w:tcPr>
          <w:p w14:paraId="3532C947">
            <w:pPr>
              <w:spacing w:line="360" w:lineRule="auto"/>
              <w:jc w:val="center"/>
              <w:rPr>
                <w:rFonts w:asciiTheme="minorEastAsia" w:hAnsiTheme="minorEastAsia"/>
                <w:color w:val="FF0000"/>
                <w:sz w:val="22"/>
              </w:rPr>
            </w:pPr>
          </w:p>
        </w:tc>
      </w:tr>
      <w:tr w14:paraId="2B06E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Merge w:val="continue"/>
            <w:vAlign w:val="center"/>
          </w:tcPr>
          <w:p w14:paraId="7B03FCEE">
            <w:pPr>
              <w:spacing w:line="360" w:lineRule="auto"/>
              <w:jc w:val="center"/>
              <w:rPr>
                <w:rFonts w:hint="eastAsia" w:asciiTheme="minorEastAsia" w:hAnsiTheme="minorEastAsia" w:eastAsiaTheme="minorEastAsia" w:cstheme="minorEastAsia"/>
                <w:color w:val="FF0000"/>
                <w:sz w:val="22"/>
              </w:rPr>
            </w:pPr>
          </w:p>
        </w:tc>
        <w:tc>
          <w:tcPr>
            <w:tcW w:w="1856" w:type="dxa"/>
            <w:vMerge w:val="continue"/>
            <w:vAlign w:val="center"/>
          </w:tcPr>
          <w:p w14:paraId="199C0D84">
            <w:pPr>
              <w:spacing w:line="360" w:lineRule="auto"/>
              <w:jc w:val="center"/>
              <w:rPr>
                <w:rFonts w:asciiTheme="minorEastAsia" w:hAnsiTheme="minorEastAsia"/>
                <w:color w:val="FF0000"/>
                <w:sz w:val="22"/>
              </w:rPr>
            </w:pPr>
          </w:p>
        </w:tc>
        <w:tc>
          <w:tcPr>
            <w:tcW w:w="1945" w:type="dxa"/>
            <w:vAlign w:val="center"/>
          </w:tcPr>
          <w:p w14:paraId="2639DE40">
            <w:pPr>
              <w:spacing w:line="360" w:lineRule="auto"/>
              <w:jc w:val="center"/>
              <w:rPr>
                <w:rFonts w:hint="eastAsia" w:asciiTheme="minorEastAsia" w:hAnsiTheme="minorEastAsia"/>
                <w:color w:val="FF0000"/>
                <w:sz w:val="22"/>
                <w:lang w:val="en-US" w:eastAsia="zh-CN"/>
              </w:rPr>
            </w:pPr>
            <w:r>
              <w:rPr>
                <w:rFonts w:hint="eastAsia" w:asciiTheme="minorEastAsia" w:hAnsiTheme="minorEastAsia"/>
                <w:color w:val="FF0000"/>
                <w:sz w:val="22"/>
                <w:lang w:val="en-US" w:eastAsia="zh-CN"/>
              </w:rPr>
              <w:t>宝武</w:t>
            </w:r>
          </w:p>
        </w:tc>
        <w:tc>
          <w:tcPr>
            <w:tcW w:w="3662" w:type="dxa"/>
            <w:vAlign w:val="center"/>
          </w:tcPr>
          <w:p w14:paraId="5C692937">
            <w:pPr>
              <w:spacing w:line="360" w:lineRule="auto"/>
              <w:jc w:val="center"/>
              <w:rPr>
                <w:rFonts w:hint="eastAsia" w:asciiTheme="minorEastAsia" w:hAnsiTheme="minorEastAsia" w:eastAsiaTheme="minorEastAsia" w:cstheme="minorBidi"/>
                <w:color w:val="FF0000"/>
                <w:kern w:val="2"/>
                <w:sz w:val="22"/>
                <w:szCs w:val="22"/>
                <w:lang w:val="en-US" w:eastAsia="zh-CN" w:bidi="ar-SA"/>
              </w:rPr>
            </w:pPr>
            <w:r>
              <w:rPr>
                <w:rFonts w:hint="eastAsia" w:asciiTheme="minorEastAsia" w:hAnsiTheme="minorEastAsia"/>
                <w:color w:val="FF0000"/>
                <w:sz w:val="22"/>
                <w:lang w:val="en-US" w:eastAsia="zh-CN"/>
              </w:rPr>
              <w:t>中国宝武钢铁集团有限公司</w:t>
            </w:r>
          </w:p>
        </w:tc>
        <w:tc>
          <w:tcPr>
            <w:tcW w:w="993" w:type="dxa"/>
            <w:vAlign w:val="center"/>
          </w:tcPr>
          <w:p w14:paraId="0D48AB92">
            <w:pPr>
              <w:spacing w:line="360" w:lineRule="auto"/>
              <w:jc w:val="center"/>
              <w:rPr>
                <w:rFonts w:asciiTheme="minorEastAsia" w:hAnsiTheme="minorEastAsia"/>
                <w:color w:val="FF0000"/>
                <w:sz w:val="22"/>
              </w:rPr>
            </w:pPr>
          </w:p>
        </w:tc>
      </w:tr>
      <w:tr w14:paraId="59D00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Merge w:val="restart"/>
            <w:vAlign w:val="center"/>
          </w:tcPr>
          <w:p w14:paraId="2039DE19">
            <w:pPr>
              <w:spacing w:line="360" w:lineRule="auto"/>
              <w:jc w:val="center"/>
              <w:rPr>
                <w:rFonts w:hint="default" w:asciiTheme="minorEastAsia" w:hAnsiTheme="minorEastAsia" w:eastAsiaTheme="minorEastAsia" w:cstheme="minorEastAsia"/>
                <w:color w:val="FF0000"/>
                <w:sz w:val="22"/>
                <w:lang w:val="en-US" w:eastAsia="zh-CN"/>
              </w:rPr>
            </w:pPr>
            <w:r>
              <w:rPr>
                <w:rFonts w:hint="eastAsia" w:asciiTheme="minorEastAsia" w:hAnsiTheme="minorEastAsia" w:cstheme="minorEastAsia"/>
                <w:color w:val="FF0000"/>
                <w:sz w:val="22"/>
                <w:lang w:val="en-US" w:eastAsia="zh-CN"/>
              </w:rPr>
              <w:t>4</w:t>
            </w:r>
          </w:p>
        </w:tc>
        <w:tc>
          <w:tcPr>
            <w:tcW w:w="1856" w:type="dxa"/>
            <w:vMerge w:val="restart"/>
            <w:vAlign w:val="center"/>
          </w:tcPr>
          <w:p w14:paraId="7AFAF8FF">
            <w:pPr>
              <w:spacing w:line="360" w:lineRule="auto"/>
              <w:jc w:val="center"/>
              <w:rPr>
                <w:rFonts w:asciiTheme="minorEastAsia" w:hAnsiTheme="minorEastAsia"/>
                <w:color w:val="FF0000"/>
                <w:sz w:val="22"/>
              </w:rPr>
            </w:pPr>
            <w:r>
              <w:rPr>
                <w:rFonts w:hint="eastAsia"/>
                <w:color w:val="FF0000"/>
                <w:sz w:val="22"/>
                <w:lang w:val="en-US" w:eastAsia="zh-CN"/>
              </w:rPr>
              <w:t>内外墙涂料</w:t>
            </w:r>
          </w:p>
        </w:tc>
        <w:tc>
          <w:tcPr>
            <w:tcW w:w="1945" w:type="dxa"/>
            <w:vAlign w:val="center"/>
          </w:tcPr>
          <w:p w14:paraId="21AD930B">
            <w:pPr>
              <w:spacing w:line="360" w:lineRule="auto"/>
              <w:jc w:val="center"/>
              <w:rPr>
                <w:rFonts w:hint="eastAsia" w:asciiTheme="minorEastAsia" w:hAnsiTheme="minorEastAsia"/>
                <w:color w:val="FF0000"/>
                <w:sz w:val="22"/>
                <w:lang w:val="en-US" w:eastAsia="zh-CN"/>
              </w:rPr>
            </w:pPr>
            <w:r>
              <w:rPr>
                <w:rFonts w:hint="eastAsia" w:asciiTheme="minorEastAsia" w:hAnsiTheme="minorEastAsia"/>
                <w:color w:val="FF0000"/>
                <w:sz w:val="22"/>
                <w:lang w:val="en-US" w:eastAsia="zh-CN"/>
              </w:rPr>
              <w:t>三棵树</w:t>
            </w:r>
          </w:p>
        </w:tc>
        <w:tc>
          <w:tcPr>
            <w:tcW w:w="3662" w:type="dxa"/>
            <w:vAlign w:val="center"/>
          </w:tcPr>
          <w:p w14:paraId="130B7474">
            <w:pPr>
              <w:keepNext w:val="0"/>
              <w:keepLines w:val="0"/>
              <w:pageBreakBefore w:val="0"/>
              <w:widowControl w:val="0"/>
              <w:kinsoku/>
              <w:wordWrap/>
              <w:overflowPunct/>
              <w:topLinePunct w:val="0"/>
              <w:autoSpaceDE/>
              <w:autoSpaceDN/>
              <w:bidi w:val="0"/>
              <w:adjustRightInd/>
              <w:snapToGrid/>
              <w:spacing w:line="360" w:lineRule="auto"/>
              <w:ind w:firstLine="220" w:firstLineChars="100"/>
              <w:jc w:val="center"/>
              <w:textAlignment w:val="auto"/>
              <w:rPr>
                <w:rFonts w:hint="eastAsia" w:asciiTheme="minorHAnsi" w:hAnsiTheme="minorHAnsi" w:eastAsiaTheme="minorEastAsia" w:cstheme="minorBidi"/>
                <w:color w:val="FF0000"/>
                <w:kern w:val="2"/>
                <w:sz w:val="22"/>
                <w:szCs w:val="22"/>
                <w:lang w:val="en-US" w:eastAsia="zh-CN" w:bidi="ar-SA"/>
              </w:rPr>
            </w:pPr>
            <w:r>
              <w:rPr>
                <w:rFonts w:hint="eastAsia" w:asciiTheme="minorHAnsi" w:hAnsiTheme="minorHAnsi" w:eastAsiaTheme="minorEastAsia" w:cstheme="minorBidi"/>
                <w:color w:val="FF0000"/>
                <w:kern w:val="2"/>
                <w:sz w:val="22"/>
                <w:szCs w:val="22"/>
                <w:lang w:val="en-US" w:eastAsia="zh-CN" w:bidi="ar-SA"/>
              </w:rPr>
              <w:t>三棵树涂料股份有限公司</w:t>
            </w:r>
          </w:p>
        </w:tc>
        <w:tc>
          <w:tcPr>
            <w:tcW w:w="993" w:type="dxa"/>
            <w:vAlign w:val="center"/>
          </w:tcPr>
          <w:p w14:paraId="44E641B2">
            <w:pPr>
              <w:spacing w:line="360" w:lineRule="auto"/>
              <w:jc w:val="center"/>
              <w:rPr>
                <w:rFonts w:asciiTheme="minorEastAsia" w:hAnsiTheme="minorEastAsia"/>
                <w:color w:val="FF0000"/>
                <w:sz w:val="22"/>
              </w:rPr>
            </w:pPr>
          </w:p>
        </w:tc>
      </w:tr>
      <w:tr w14:paraId="44A7A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Merge w:val="continue"/>
            <w:vAlign w:val="center"/>
          </w:tcPr>
          <w:p w14:paraId="79467D38">
            <w:pPr>
              <w:spacing w:line="360" w:lineRule="auto"/>
              <w:jc w:val="center"/>
              <w:rPr>
                <w:rFonts w:hint="eastAsia" w:asciiTheme="minorEastAsia" w:hAnsiTheme="minorEastAsia" w:eastAsiaTheme="minorEastAsia" w:cstheme="minorEastAsia"/>
                <w:color w:val="FF0000"/>
                <w:sz w:val="22"/>
              </w:rPr>
            </w:pPr>
          </w:p>
        </w:tc>
        <w:tc>
          <w:tcPr>
            <w:tcW w:w="1856" w:type="dxa"/>
            <w:vMerge w:val="continue"/>
            <w:vAlign w:val="center"/>
          </w:tcPr>
          <w:p w14:paraId="2D3DF4EA">
            <w:pPr>
              <w:spacing w:line="360" w:lineRule="auto"/>
              <w:jc w:val="center"/>
              <w:rPr>
                <w:rFonts w:asciiTheme="minorEastAsia" w:hAnsiTheme="minorEastAsia"/>
                <w:color w:val="FF0000"/>
                <w:sz w:val="22"/>
              </w:rPr>
            </w:pPr>
          </w:p>
        </w:tc>
        <w:tc>
          <w:tcPr>
            <w:tcW w:w="1945" w:type="dxa"/>
            <w:vAlign w:val="center"/>
          </w:tcPr>
          <w:p w14:paraId="26713CA1">
            <w:pPr>
              <w:spacing w:line="360" w:lineRule="auto"/>
              <w:jc w:val="center"/>
              <w:rPr>
                <w:rFonts w:hint="eastAsia" w:asciiTheme="minorEastAsia" w:hAnsiTheme="minorEastAsia"/>
                <w:color w:val="FF0000"/>
                <w:sz w:val="22"/>
                <w:lang w:val="en-US" w:eastAsia="zh-CN"/>
              </w:rPr>
            </w:pPr>
            <w:r>
              <w:rPr>
                <w:rFonts w:hint="eastAsia" w:asciiTheme="minorEastAsia" w:hAnsiTheme="minorEastAsia"/>
                <w:color w:val="FF0000"/>
                <w:sz w:val="22"/>
                <w:lang w:val="en-US" w:eastAsia="zh-CN"/>
              </w:rPr>
              <w:t>立邦</w:t>
            </w:r>
          </w:p>
        </w:tc>
        <w:tc>
          <w:tcPr>
            <w:tcW w:w="3662" w:type="dxa"/>
            <w:vAlign w:val="center"/>
          </w:tcPr>
          <w:p w14:paraId="23AAF43D">
            <w:pPr>
              <w:keepNext w:val="0"/>
              <w:keepLines w:val="0"/>
              <w:pageBreakBefore w:val="0"/>
              <w:widowControl w:val="0"/>
              <w:kinsoku/>
              <w:wordWrap/>
              <w:overflowPunct/>
              <w:topLinePunct w:val="0"/>
              <w:autoSpaceDE/>
              <w:autoSpaceDN/>
              <w:bidi w:val="0"/>
              <w:adjustRightInd/>
              <w:snapToGrid/>
              <w:spacing w:line="360" w:lineRule="auto"/>
              <w:ind w:firstLine="220" w:firstLineChars="100"/>
              <w:jc w:val="center"/>
              <w:textAlignment w:val="auto"/>
              <w:rPr>
                <w:rFonts w:hint="eastAsia" w:asciiTheme="minorHAnsi" w:hAnsiTheme="minorHAnsi" w:eastAsiaTheme="minorEastAsia" w:cstheme="minorBidi"/>
                <w:color w:val="FF0000"/>
                <w:kern w:val="2"/>
                <w:sz w:val="22"/>
                <w:szCs w:val="22"/>
                <w:lang w:val="en-US" w:eastAsia="zh-CN" w:bidi="ar-SA"/>
              </w:rPr>
            </w:pPr>
            <w:r>
              <w:rPr>
                <w:rFonts w:hint="eastAsia" w:asciiTheme="minorHAnsi" w:hAnsiTheme="minorHAnsi" w:eastAsiaTheme="minorEastAsia" w:cstheme="minorBidi"/>
                <w:color w:val="FF0000"/>
                <w:kern w:val="2"/>
                <w:sz w:val="22"/>
                <w:szCs w:val="22"/>
                <w:lang w:val="en-US" w:eastAsia="zh-CN" w:bidi="ar-SA"/>
              </w:rPr>
              <w:t>立邦涂料(中国)有限公司</w:t>
            </w:r>
          </w:p>
        </w:tc>
        <w:tc>
          <w:tcPr>
            <w:tcW w:w="993" w:type="dxa"/>
            <w:vAlign w:val="center"/>
          </w:tcPr>
          <w:p w14:paraId="4BC11775">
            <w:pPr>
              <w:spacing w:line="360" w:lineRule="auto"/>
              <w:jc w:val="center"/>
              <w:rPr>
                <w:rFonts w:asciiTheme="minorEastAsia" w:hAnsiTheme="minorEastAsia"/>
                <w:color w:val="FF0000"/>
                <w:sz w:val="22"/>
              </w:rPr>
            </w:pPr>
          </w:p>
        </w:tc>
      </w:tr>
      <w:tr w14:paraId="541A6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Merge w:val="continue"/>
            <w:vAlign w:val="center"/>
          </w:tcPr>
          <w:p w14:paraId="5E838096">
            <w:pPr>
              <w:spacing w:line="360" w:lineRule="auto"/>
              <w:jc w:val="center"/>
              <w:rPr>
                <w:rFonts w:hint="eastAsia" w:asciiTheme="minorEastAsia" w:hAnsiTheme="minorEastAsia" w:eastAsiaTheme="minorEastAsia" w:cstheme="minorEastAsia"/>
                <w:color w:val="FF0000"/>
                <w:sz w:val="22"/>
              </w:rPr>
            </w:pPr>
          </w:p>
        </w:tc>
        <w:tc>
          <w:tcPr>
            <w:tcW w:w="1856" w:type="dxa"/>
            <w:vMerge w:val="continue"/>
            <w:vAlign w:val="center"/>
          </w:tcPr>
          <w:p w14:paraId="69FC9370">
            <w:pPr>
              <w:spacing w:line="360" w:lineRule="auto"/>
              <w:jc w:val="center"/>
              <w:rPr>
                <w:rFonts w:asciiTheme="minorEastAsia" w:hAnsiTheme="minorEastAsia"/>
                <w:color w:val="FF0000"/>
                <w:sz w:val="22"/>
              </w:rPr>
            </w:pPr>
          </w:p>
        </w:tc>
        <w:tc>
          <w:tcPr>
            <w:tcW w:w="1945" w:type="dxa"/>
            <w:vAlign w:val="center"/>
          </w:tcPr>
          <w:p w14:paraId="602E47EC">
            <w:pPr>
              <w:spacing w:line="360" w:lineRule="auto"/>
              <w:jc w:val="center"/>
              <w:rPr>
                <w:rFonts w:hint="eastAsia" w:asciiTheme="minorEastAsia" w:hAnsiTheme="minorEastAsia"/>
                <w:color w:val="FF0000"/>
                <w:sz w:val="22"/>
                <w:lang w:val="en-US" w:eastAsia="zh-CN"/>
              </w:rPr>
            </w:pPr>
            <w:r>
              <w:rPr>
                <w:rFonts w:hint="eastAsia" w:asciiTheme="minorEastAsia" w:hAnsiTheme="minorEastAsia"/>
                <w:color w:val="FF0000"/>
                <w:sz w:val="22"/>
                <w:lang w:val="en-US" w:eastAsia="zh-CN"/>
              </w:rPr>
              <w:t>亚士</w:t>
            </w:r>
          </w:p>
        </w:tc>
        <w:tc>
          <w:tcPr>
            <w:tcW w:w="3662" w:type="dxa"/>
            <w:vAlign w:val="center"/>
          </w:tcPr>
          <w:p w14:paraId="1F9F8981">
            <w:pPr>
              <w:keepNext w:val="0"/>
              <w:keepLines w:val="0"/>
              <w:pageBreakBefore w:val="0"/>
              <w:widowControl w:val="0"/>
              <w:kinsoku/>
              <w:wordWrap/>
              <w:overflowPunct/>
              <w:topLinePunct w:val="0"/>
              <w:autoSpaceDE/>
              <w:autoSpaceDN/>
              <w:bidi w:val="0"/>
              <w:adjustRightInd/>
              <w:snapToGrid/>
              <w:spacing w:line="360" w:lineRule="auto"/>
              <w:ind w:firstLine="220" w:firstLineChars="100"/>
              <w:jc w:val="center"/>
              <w:textAlignment w:val="auto"/>
              <w:rPr>
                <w:rFonts w:hint="eastAsia" w:asciiTheme="minorHAnsi" w:hAnsiTheme="minorHAnsi" w:eastAsiaTheme="minorEastAsia" w:cstheme="minorBidi"/>
                <w:color w:val="FF0000"/>
                <w:kern w:val="2"/>
                <w:sz w:val="22"/>
                <w:szCs w:val="22"/>
                <w:lang w:val="en-US" w:eastAsia="zh-CN" w:bidi="ar-SA"/>
              </w:rPr>
            </w:pPr>
            <w:r>
              <w:rPr>
                <w:rFonts w:hint="eastAsia" w:asciiTheme="minorHAnsi" w:hAnsiTheme="minorHAnsi" w:eastAsiaTheme="minorEastAsia" w:cstheme="minorBidi"/>
                <w:color w:val="FF0000"/>
                <w:kern w:val="2"/>
                <w:sz w:val="22"/>
                <w:szCs w:val="22"/>
                <w:lang w:val="en-US" w:eastAsia="zh-CN" w:bidi="ar-SA"/>
              </w:rPr>
              <w:t>亚士创能科技（上海）股份有限公司</w:t>
            </w:r>
          </w:p>
        </w:tc>
        <w:tc>
          <w:tcPr>
            <w:tcW w:w="993" w:type="dxa"/>
            <w:vAlign w:val="center"/>
          </w:tcPr>
          <w:p w14:paraId="7E768996">
            <w:pPr>
              <w:spacing w:line="360" w:lineRule="auto"/>
              <w:jc w:val="center"/>
              <w:rPr>
                <w:rFonts w:asciiTheme="minorEastAsia" w:hAnsiTheme="minorEastAsia"/>
                <w:color w:val="FF0000"/>
                <w:sz w:val="22"/>
              </w:rPr>
            </w:pPr>
          </w:p>
        </w:tc>
      </w:tr>
      <w:tr w14:paraId="7E312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Merge w:val="continue"/>
            <w:vAlign w:val="center"/>
          </w:tcPr>
          <w:p w14:paraId="6AEC7B4C">
            <w:pPr>
              <w:spacing w:line="360" w:lineRule="auto"/>
              <w:jc w:val="center"/>
              <w:rPr>
                <w:rFonts w:hint="eastAsia" w:asciiTheme="minorEastAsia" w:hAnsiTheme="minorEastAsia" w:eastAsiaTheme="minorEastAsia" w:cstheme="minorEastAsia"/>
                <w:color w:val="FF0000"/>
                <w:sz w:val="22"/>
              </w:rPr>
            </w:pPr>
          </w:p>
        </w:tc>
        <w:tc>
          <w:tcPr>
            <w:tcW w:w="1856" w:type="dxa"/>
            <w:vMerge w:val="continue"/>
            <w:vAlign w:val="center"/>
          </w:tcPr>
          <w:p w14:paraId="4C87B5DB">
            <w:pPr>
              <w:spacing w:line="360" w:lineRule="auto"/>
              <w:jc w:val="center"/>
              <w:rPr>
                <w:rFonts w:asciiTheme="minorEastAsia" w:hAnsiTheme="minorEastAsia"/>
                <w:color w:val="FF0000"/>
                <w:sz w:val="22"/>
              </w:rPr>
            </w:pPr>
          </w:p>
        </w:tc>
        <w:tc>
          <w:tcPr>
            <w:tcW w:w="1945" w:type="dxa"/>
            <w:vAlign w:val="center"/>
          </w:tcPr>
          <w:p w14:paraId="3E2062E1">
            <w:pPr>
              <w:spacing w:line="360" w:lineRule="auto"/>
              <w:jc w:val="center"/>
              <w:rPr>
                <w:rFonts w:hint="eastAsia" w:asciiTheme="minorEastAsia" w:hAnsiTheme="minorEastAsia"/>
                <w:color w:val="FF0000"/>
                <w:sz w:val="22"/>
                <w:lang w:val="en-US" w:eastAsia="zh-CN"/>
              </w:rPr>
            </w:pPr>
            <w:r>
              <w:rPr>
                <w:rFonts w:hint="eastAsia" w:asciiTheme="minorEastAsia" w:hAnsiTheme="minorEastAsia"/>
                <w:color w:val="FF0000"/>
                <w:sz w:val="22"/>
                <w:lang w:val="en-US" w:eastAsia="zh-CN"/>
              </w:rPr>
              <w:t>丰彩</w:t>
            </w:r>
          </w:p>
        </w:tc>
        <w:tc>
          <w:tcPr>
            <w:tcW w:w="3662" w:type="dxa"/>
            <w:vAlign w:val="center"/>
          </w:tcPr>
          <w:p w14:paraId="2AC8D2A9">
            <w:pPr>
              <w:keepNext w:val="0"/>
              <w:keepLines w:val="0"/>
              <w:pageBreakBefore w:val="0"/>
              <w:widowControl w:val="0"/>
              <w:kinsoku/>
              <w:wordWrap/>
              <w:overflowPunct/>
              <w:topLinePunct w:val="0"/>
              <w:autoSpaceDE/>
              <w:autoSpaceDN/>
              <w:bidi w:val="0"/>
              <w:adjustRightInd/>
              <w:snapToGrid/>
              <w:spacing w:line="360" w:lineRule="auto"/>
              <w:ind w:firstLine="220" w:firstLineChars="100"/>
              <w:jc w:val="center"/>
              <w:textAlignment w:val="auto"/>
              <w:rPr>
                <w:rFonts w:hint="eastAsia"/>
                <w:color w:val="FF0000"/>
                <w:sz w:val="22"/>
                <w:lang w:val="en-US" w:eastAsia="zh-CN"/>
              </w:rPr>
            </w:pPr>
            <w:r>
              <w:rPr>
                <w:rFonts w:hint="eastAsia"/>
                <w:color w:val="FF0000"/>
                <w:sz w:val="22"/>
                <w:lang w:val="en-US" w:eastAsia="zh-CN"/>
              </w:rPr>
              <w:t>江苏丰彩建材（集团）有限公司</w:t>
            </w:r>
          </w:p>
        </w:tc>
        <w:tc>
          <w:tcPr>
            <w:tcW w:w="993" w:type="dxa"/>
            <w:vAlign w:val="center"/>
          </w:tcPr>
          <w:p w14:paraId="39DBAD17">
            <w:pPr>
              <w:spacing w:line="360" w:lineRule="auto"/>
              <w:jc w:val="center"/>
              <w:rPr>
                <w:rFonts w:asciiTheme="minorEastAsia" w:hAnsiTheme="minorEastAsia"/>
                <w:color w:val="FF0000"/>
                <w:sz w:val="22"/>
              </w:rPr>
            </w:pPr>
          </w:p>
        </w:tc>
      </w:tr>
      <w:tr w14:paraId="4B25C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Merge w:val="restart"/>
            <w:vAlign w:val="center"/>
          </w:tcPr>
          <w:p w14:paraId="48DC8B1D">
            <w:pPr>
              <w:spacing w:line="360" w:lineRule="auto"/>
              <w:jc w:val="center"/>
              <w:rPr>
                <w:rFonts w:hint="default" w:asciiTheme="minorEastAsia" w:hAnsiTheme="minorEastAsia" w:eastAsiaTheme="minorEastAsia" w:cstheme="minorEastAsia"/>
                <w:color w:val="FF0000"/>
                <w:sz w:val="22"/>
                <w:lang w:val="en-US" w:eastAsia="zh-CN"/>
              </w:rPr>
            </w:pPr>
            <w:r>
              <w:rPr>
                <w:rFonts w:hint="eastAsia" w:asciiTheme="minorEastAsia" w:hAnsiTheme="minorEastAsia" w:cstheme="minorEastAsia"/>
                <w:color w:val="FF0000"/>
                <w:sz w:val="22"/>
                <w:lang w:val="en-US" w:eastAsia="zh-CN"/>
              </w:rPr>
              <w:t>5</w:t>
            </w:r>
          </w:p>
        </w:tc>
        <w:tc>
          <w:tcPr>
            <w:tcW w:w="1856" w:type="dxa"/>
            <w:vMerge w:val="restart"/>
            <w:vAlign w:val="center"/>
          </w:tcPr>
          <w:p w14:paraId="4FBCFFFC">
            <w:pPr>
              <w:spacing w:line="360" w:lineRule="auto"/>
              <w:jc w:val="center"/>
              <w:rPr>
                <w:rFonts w:asciiTheme="minorEastAsia" w:hAnsiTheme="minorEastAsia"/>
                <w:color w:val="FF0000"/>
                <w:sz w:val="22"/>
              </w:rPr>
            </w:pPr>
            <w:r>
              <w:rPr>
                <w:rFonts w:hint="eastAsia"/>
                <w:color w:val="FF0000"/>
                <w:sz w:val="22"/>
                <w:lang w:val="en-US" w:eastAsia="zh-CN"/>
              </w:rPr>
              <w:t>HDPE双壁缠绕管</w:t>
            </w:r>
          </w:p>
        </w:tc>
        <w:tc>
          <w:tcPr>
            <w:tcW w:w="1945" w:type="dxa"/>
            <w:vAlign w:val="center"/>
          </w:tcPr>
          <w:p w14:paraId="6D6C7CE6">
            <w:pPr>
              <w:spacing w:line="360" w:lineRule="auto"/>
              <w:jc w:val="center"/>
              <w:rPr>
                <w:rFonts w:hint="eastAsia" w:asciiTheme="minorEastAsia" w:hAnsiTheme="minorEastAsia"/>
                <w:color w:val="FF0000"/>
                <w:sz w:val="22"/>
                <w:lang w:val="en-US" w:eastAsia="zh-CN"/>
              </w:rPr>
            </w:pPr>
            <w:r>
              <w:rPr>
                <w:rFonts w:hint="eastAsia" w:asciiTheme="minorEastAsia" w:hAnsiTheme="minorEastAsia"/>
                <w:color w:val="FF0000"/>
                <w:sz w:val="22"/>
                <w:lang w:val="en-US" w:eastAsia="zh-CN"/>
              </w:rPr>
              <w:t>公元</w:t>
            </w:r>
          </w:p>
        </w:tc>
        <w:tc>
          <w:tcPr>
            <w:tcW w:w="3662" w:type="dxa"/>
            <w:vAlign w:val="center"/>
          </w:tcPr>
          <w:p w14:paraId="641E8671">
            <w:pPr>
              <w:keepNext w:val="0"/>
              <w:keepLines w:val="0"/>
              <w:pageBreakBefore w:val="0"/>
              <w:widowControl w:val="0"/>
              <w:kinsoku/>
              <w:wordWrap/>
              <w:overflowPunct/>
              <w:topLinePunct w:val="0"/>
              <w:autoSpaceDE/>
              <w:autoSpaceDN/>
              <w:bidi w:val="0"/>
              <w:adjustRightInd/>
              <w:snapToGrid/>
              <w:spacing w:line="360" w:lineRule="auto"/>
              <w:ind w:firstLine="220" w:firstLineChars="100"/>
              <w:jc w:val="center"/>
              <w:textAlignment w:val="auto"/>
              <w:rPr>
                <w:rFonts w:hint="eastAsia" w:asciiTheme="minorHAnsi" w:hAnsiTheme="minorHAnsi" w:eastAsiaTheme="minorEastAsia" w:cstheme="minorBidi"/>
                <w:color w:val="FF0000"/>
                <w:kern w:val="2"/>
                <w:sz w:val="22"/>
                <w:szCs w:val="22"/>
                <w:lang w:val="en-US" w:eastAsia="zh-CN" w:bidi="ar-SA"/>
              </w:rPr>
            </w:pPr>
            <w:r>
              <w:rPr>
                <w:rFonts w:hint="eastAsia"/>
                <w:color w:val="FF0000"/>
                <w:sz w:val="22"/>
                <w:lang w:val="en-US" w:eastAsia="zh-CN"/>
              </w:rPr>
              <w:t>公元股份有限公司</w:t>
            </w:r>
          </w:p>
        </w:tc>
        <w:tc>
          <w:tcPr>
            <w:tcW w:w="993" w:type="dxa"/>
            <w:vAlign w:val="center"/>
          </w:tcPr>
          <w:p w14:paraId="01C9E778">
            <w:pPr>
              <w:spacing w:line="360" w:lineRule="auto"/>
              <w:jc w:val="center"/>
              <w:rPr>
                <w:rFonts w:asciiTheme="minorEastAsia" w:hAnsiTheme="minorEastAsia"/>
                <w:color w:val="FF0000"/>
                <w:sz w:val="22"/>
              </w:rPr>
            </w:pPr>
          </w:p>
        </w:tc>
      </w:tr>
      <w:tr w14:paraId="3AFC7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Merge w:val="continue"/>
            <w:vAlign w:val="center"/>
          </w:tcPr>
          <w:p w14:paraId="392FEF92">
            <w:pPr>
              <w:spacing w:line="360" w:lineRule="auto"/>
              <w:jc w:val="center"/>
              <w:rPr>
                <w:rFonts w:hint="eastAsia" w:asciiTheme="minorEastAsia" w:hAnsiTheme="minorEastAsia" w:eastAsiaTheme="minorEastAsia" w:cstheme="minorEastAsia"/>
                <w:color w:val="FF0000"/>
                <w:sz w:val="22"/>
              </w:rPr>
            </w:pPr>
          </w:p>
        </w:tc>
        <w:tc>
          <w:tcPr>
            <w:tcW w:w="1856" w:type="dxa"/>
            <w:vMerge w:val="continue"/>
            <w:vAlign w:val="center"/>
          </w:tcPr>
          <w:p w14:paraId="18ADD160">
            <w:pPr>
              <w:spacing w:line="360" w:lineRule="auto"/>
              <w:jc w:val="center"/>
              <w:rPr>
                <w:rFonts w:asciiTheme="minorEastAsia" w:hAnsiTheme="minorEastAsia"/>
                <w:color w:val="FF0000"/>
                <w:sz w:val="22"/>
              </w:rPr>
            </w:pPr>
          </w:p>
        </w:tc>
        <w:tc>
          <w:tcPr>
            <w:tcW w:w="1945" w:type="dxa"/>
            <w:vAlign w:val="center"/>
          </w:tcPr>
          <w:p w14:paraId="65A9CB11">
            <w:pPr>
              <w:spacing w:line="360" w:lineRule="auto"/>
              <w:jc w:val="center"/>
              <w:rPr>
                <w:rFonts w:hint="eastAsia" w:asciiTheme="minorEastAsia" w:hAnsiTheme="minorEastAsia"/>
                <w:color w:val="FF0000"/>
                <w:sz w:val="22"/>
                <w:lang w:val="en-US" w:eastAsia="zh-CN"/>
              </w:rPr>
            </w:pPr>
            <w:r>
              <w:rPr>
                <w:rFonts w:hint="eastAsia" w:asciiTheme="minorEastAsia" w:hAnsiTheme="minorEastAsia"/>
                <w:color w:val="FF0000"/>
                <w:sz w:val="22"/>
                <w:lang w:val="en-US" w:eastAsia="zh-CN"/>
              </w:rPr>
              <w:t>联塑</w:t>
            </w:r>
          </w:p>
        </w:tc>
        <w:tc>
          <w:tcPr>
            <w:tcW w:w="3662" w:type="dxa"/>
            <w:vAlign w:val="center"/>
          </w:tcPr>
          <w:p w14:paraId="48482A68">
            <w:pPr>
              <w:keepNext w:val="0"/>
              <w:keepLines w:val="0"/>
              <w:pageBreakBefore w:val="0"/>
              <w:widowControl w:val="0"/>
              <w:kinsoku/>
              <w:wordWrap/>
              <w:overflowPunct/>
              <w:topLinePunct w:val="0"/>
              <w:autoSpaceDE/>
              <w:autoSpaceDN/>
              <w:bidi w:val="0"/>
              <w:adjustRightInd/>
              <w:snapToGrid/>
              <w:spacing w:line="360" w:lineRule="auto"/>
              <w:ind w:firstLine="220" w:firstLineChars="100"/>
              <w:jc w:val="center"/>
              <w:textAlignment w:val="auto"/>
              <w:rPr>
                <w:rFonts w:hint="eastAsia" w:asciiTheme="minorHAnsi" w:hAnsiTheme="minorHAnsi" w:eastAsiaTheme="minorEastAsia" w:cstheme="minorBidi"/>
                <w:color w:val="FF0000"/>
                <w:kern w:val="2"/>
                <w:sz w:val="22"/>
                <w:szCs w:val="22"/>
                <w:lang w:val="en-US" w:eastAsia="zh-CN" w:bidi="ar-SA"/>
              </w:rPr>
            </w:pPr>
            <w:r>
              <w:rPr>
                <w:rFonts w:hint="eastAsia"/>
                <w:color w:val="FF0000"/>
                <w:sz w:val="22"/>
                <w:lang w:val="en-US" w:eastAsia="zh-CN"/>
              </w:rPr>
              <w:t>广东联塑科技实业有限公司</w:t>
            </w:r>
          </w:p>
        </w:tc>
        <w:tc>
          <w:tcPr>
            <w:tcW w:w="993" w:type="dxa"/>
            <w:vAlign w:val="center"/>
          </w:tcPr>
          <w:p w14:paraId="2410E5DF">
            <w:pPr>
              <w:spacing w:line="360" w:lineRule="auto"/>
              <w:jc w:val="center"/>
              <w:rPr>
                <w:rFonts w:asciiTheme="minorEastAsia" w:hAnsiTheme="minorEastAsia"/>
                <w:color w:val="FF0000"/>
                <w:sz w:val="22"/>
              </w:rPr>
            </w:pPr>
          </w:p>
        </w:tc>
      </w:tr>
      <w:tr w14:paraId="7DA13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Merge w:val="continue"/>
            <w:vAlign w:val="center"/>
          </w:tcPr>
          <w:p w14:paraId="16712267">
            <w:pPr>
              <w:spacing w:line="360" w:lineRule="auto"/>
              <w:jc w:val="center"/>
              <w:rPr>
                <w:rFonts w:hint="eastAsia" w:asciiTheme="minorEastAsia" w:hAnsiTheme="minorEastAsia" w:eastAsiaTheme="minorEastAsia" w:cstheme="minorEastAsia"/>
                <w:color w:val="FF0000"/>
                <w:sz w:val="22"/>
              </w:rPr>
            </w:pPr>
          </w:p>
        </w:tc>
        <w:tc>
          <w:tcPr>
            <w:tcW w:w="1856" w:type="dxa"/>
            <w:vMerge w:val="continue"/>
            <w:vAlign w:val="center"/>
          </w:tcPr>
          <w:p w14:paraId="12B13413">
            <w:pPr>
              <w:spacing w:line="360" w:lineRule="auto"/>
              <w:jc w:val="center"/>
              <w:rPr>
                <w:rFonts w:asciiTheme="minorEastAsia" w:hAnsiTheme="minorEastAsia"/>
                <w:color w:val="FF0000"/>
                <w:sz w:val="22"/>
              </w:rPr>
            </w:pPr>
          </w:p>
        </w:tc>
        <w:tc>
          <w:tcPr>
            <w:tcW w:w="1945" w:type="dxa"/>
            <w:vAlign w:val="center"/>
          </w:tcPr>
          <w:p w14:paraId="1FE58B9E">
            <w:pPr>
              <w:spacing w:line="360" w:lineRule="auto"/>
              <w:jc w:val="center"/>
              <w:rPr>
                <w:rFonts w:hint="eastAsia" w:asciiTheme="minorEastAsia" w:hAnsiTheme="minorEastAsia"/>
                <w:color w:val="FF0000"/>
                <w:sz w:val="22"/>
                <w:lang w:val="en-US" w:eastAsia="zh-CN"/>
              </w:rPr>
            </w:pPr>
            <w:r>
              <w:rPr>
                <w:rFonts w:hint="eastAsia" w:asciiTheme="minorEastAsia" w:hAnsiTheme="minorEastAsia"/>
                <w:color w:val="FF0000"/>
                <w:sz w:val="22"/>
                <w:lang w:val="en-US" w:eastAsia="zh-CN"/>
              </w:rPr>
              <w:t>伟星</w:t>
            </w:r>
          </w:p>
        </w:tc>
        <w:tc>
          <w:tcPr>
            <w:tcW w:w="3662" w:type="dxa"/>
            <w:vAlign w:val="center"/>
          </w:tcPr>
          <w:p w14:paraId="2CC57429">
            <w:pPr>
              <w:keepNext w:val="0"/>
              <w:keepLines w:val="0"/>
              <w:pageBreakBefore w:val="0"/>
              <w:widowControl w:val="0"/>
              <w:kinsoku/>
              <w:wordWrap/>
              <w:overflowPunct/>
              <w:topLinePunct w:val="0"/>
              <w:autoSpaceDE/>
              <w:autoSpaceDN/>
              <w:bidi w:val="0"/>
              <w:adjustRightInd/>
              <w:snapToGrid/>
              <w:spacing w:line="360" w:lineRule="auto"/>
              <w:ind w:firstLine="220" w:firstLineChars="100"/>
              <w:jc w:val="center"/>
              <w:textAlignment w:val="auto"/>
              <w:rPr>
                <w:rFonts w:hint="eastAsia" w:asciiTheme="minorHAnsi" w:hAnsiTheme="minorHAnsi" w:eastAsiaTheme="minorEastAsia" w:cstheme="minorBidi"/>
                <w:color w:val="FF0000"/>
                <w:kern w:val="2"/>
                <w:sz w:val="22"/>
                <w:szCs w:val="22"/>
                <w:lang w:val="en-US" w:eastAsia="zh-CN" w:bidi="ar-SA"/>
              </w:rPr>
            </w:pPr>
            <w:r>
              <w:rPr>
                <w:rFonts w:hint="eastAsia"/>
                <w:color w:val="FF0000"/>
                <w:sz w:val="22"/>
                <w:lang w:val="en-US" w:eastAsia="zh-CN"/>
              </w:rPr>
              <w:t>浙江伟星新型建材股份有限公司</w:t>
            </w:r>
          </w:p>
        </w:tc>
        <w:tc>
          <w:tcPr>
            <w:tcW w:w="993" w:type="dxa"/>
            <w:vAlign w:val="center"/>
          </w:tcPr>
          <w:p w14:paraId="7987479C">
            <w:pPr>
              <w:spacing w:line="360" w:lineRule="auto"/>
              <w:jc w:val="center"/>
              <w:rPr>
                <w:rFonts w:asciiTheme="minorEastAsia" w:hAnsiTheme="minorEastAsia"/>
                <w:color w:val="FF0000"/>
                <w:sz w:val="22"/>
              </w:rPr>
            </w:pPr>
          </w:p>
        </w:tc>
      </w:tr>
      <w:tr w14:paraId="4FC98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Merge w:val="restart"/>
            <w:vAlign w:val="center"/>
          </w:tcPr>
          <w:p w14:paraId="561621FE">
            <w:pPr>
              <w:spacing w:line="360" w:lineRule="auto"/>
              <w:jc w:val="center"/>
              <w:rPr>
                <w:rFonts w:hint="eastAsia" w:asciiTheme="minorEastAsia" w:hAnsiTheme="minorEastAsia" w:eastAsiaTheme="minorEastAsia" w:cstheme="minorEastAsia"/>
                <w:color w:val="FF0000"/>
                <w:sz w:val="22"/>
                <w:lang w:val="en-US" w:eastAsia="zh-CN"/>
              </w:rPr>
            </w:pPr>
            <w:r>
              <w:rPr>
                <w:rFonts w:hint="eastAsia" w:asciiTheme="minorEastAsia" w:hAnsiTheme="minorEastAsia" w:cstheme="minorEastAsia"/>
                <w:color w:val="FF0000"/>
                <w:sz w:val="22"/>
                <w:lang w:val="en-US" w:eastAsia="zh-CN"/>
              </w:rPr>
              <w:t>6</w:t>
            </w:r>
          </w:p>
        </w:tc>
        <w:tc>
          <w:tcPr>
            <w:tcW w:w="1856" w:type="dxa"/>
            <w:vMerge w:val="restart"/>
            <w:vAlign w:val="center"/>
          </w:tcPr>
          <w:p w14:paraId="4E85AD59">
            <w:pPr>
              <w:spacing w:line="360" w:lineRule="auto"/>
              <w:jc w:val="center"/>
              <w:rPr>
                <w:rFonts w:asciiTheme="minorEastAsia" w:hAnsiTheme="minorEastAsia"/>
                <w:color w:val="FF0000"/>
                <w:sz w:val="22"/>
              </w:rPr>
            </w:pPr>
            <w:r>
              <w:rPr>
                <w:rFonts w:hint="eastAsia" w:asciiTheme="minorEastAsia" w:hAnsiTheme="minorEastAsia"/>
                <w:color w:val="FF0000"/>
                <w:sz w:val="22"/>
              </w:rPr>
              <w:t>（热镀锌)钢管、焊接钢管、热浸锌钢管</w:t>
            </w:r>
          </w:p>
        </w:tc>
        <w:tc>
          <w:tcPr>
            <w:tcW w:w="1945" w:type="dxa"/>
            <w:vAlign w:val="center"/>
          </w:tcPr>
          <w:p w14:paraId="118BFBD1">
            <w:pPr>
              <w:spacing w:line="360" w:lineRule="auto"/>
              <w:jc w:val="center"/>
              <w:rPr>
                <w:rFonts w:hint="eastAsia" w:asciiTheme="minorEastAsia" w:hAnsiTheme="minorEastAsia"/>
                <w:color w:val="FF0000"/>
                <w:sz w:val="22"/>
                <w:lang w:val="en-US" w:eastAsia="zh-CN"/>
              </w:rPr>
            </w:pPr>
            <w:r>
              <w:rPr>
                <w:rFonts w:hint="eastAsia" w:asciiTheme="minorEastAsia" w:hAnsiTheme="minorEastAsia"/>
                <w:color w:val="FF0000"/>
                <w:sz w:val="22"/>
                <w:lang w:val="en-US" w:eastAsia="zh-CN"/>
              </w:rPr>
              <w:t>天虹</w:t>
            </w:r>
          </w:p>
        </w:tc>
        <w:tc>
          <w:tcPr>
            <w:tcW w:w="3662" w:type="dxa"/>
            <w:vAlign w:val="center"/>
          </w:tcPr>
          <w:p w14:paraId="4A284C64">
            <w:pPr>
              <w:keepNext w:val="0"/>
              <w:keepLines w:val="0"/>
              <w:pageBreakBefore w:val="0"/>
              <w:widowControl w:val="0"/>
              <w:kinsoku/>
              <w:wordWrap/>
              <w:overflowPunct/>
              <w:topLinePunct w:val="0"/>
              <w:autoSpaceDE/>
              <w:autoSpaceDN/>
              <w:bidi w:val="0"/>
              <w:adjustRightInd/>
              <w:snapToGrid/>
              <w:spacing w:line="360" w:lineRule="auto"/>
              <w:ind w:firstLine="220" w:firstLineChars="100"/>
              <w:jc w:val="center"/>
              <w:textAlignment w:val="auto"/>
              <w:rPr>
                <w:rFonts w:hint="eastAsia"/>
                <w:color w:val="FF0000"/>
                <w:sz w:val="22"/>
                <w:lang w:val="en-US" w:eastAsia="zh-CN"/>
              </w:rPr>
            </w:pPr>
            <w:r>
              <w:rPr>
                <w:rFonts w:hint="eastAsia"/>
                <w:color w:val="FF0000"/>
                <w:sz w:val="22"/>
                <w:lang w:val="en-US" w:eastAsia="zh-CN"/>
              </w:rPr>
              <w:t>邯郸正大制管集团股份有限公司</w:t>
            </w:r>
          </w:p>
        </w:tc>
        <w:tc>
          <w:tcPr>
            <w:tcW w:w="993" w:type="dxa"/>
            <w:vAlign w:val="center"/>
          </w:tcPr>
          <w:p w14:paraId="7E7B548A">
            <w:pPr>
              <w:spacing w:line="360" w:lineRule="auto"/>
              <w:jc w:val="center"/>
              <w:rPr>
                <w:rFonts w:asciiTheme="minorEastAsia" w:hAnsiTheme="minorEastAsia"/>
                <w:color w:val="FF0000"/>
                <w:sz w:val="22"/>
              </w:rPr>
            </w:pPr>
          </w:p>
        </w:tc>
      </w:tr>
      <w:tr w14:paraId="6C19E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Merge w:val="continue"/>
            <w:vAlign w:val="center"/>
          </w:tcPr>
          <w:p w14:paraId="43081C59">
            <w:pPr>
              <w:spacing w:line="360" w:lineRule="auto"/>
              <w:jc w:val="center"/>
              <w:rPr>
                <w:rFonts w:hint="eastAsia" w:asciiTheme="minorEastAsia" w:hAnsiTheme="minorEastAsia" w:eastAsiaTheme="minorEastAsia" w:cstheme="minorEastAsia"/>
                <w:color w:val="FF0000"/>
                <w:sz w:val="22"/>
              </w:rPr>
            </w:pPr>
          </w:p>
        </w:tc>
        <w:tc>
          <w:tcPr>
            <w:tcW w:w="1856" w:type="dxa"/>
            <w:vMerge w:val="continue"/>
            <w:vAlign w:val="center"/>
          </w:tcPr>
          <w:p w14:paraId="03111F6A">
            <w:pPr>
              <w:spacing w:line="360" w:lineRule="auto"/>
              <w:jc w:val="center"/>
              <w:rPr>
                <w:rFonts w:asciiTheme="minorEastAsia" w:hAnsiTheme="minorEastAsia"/>
                <w:color w:val="FF0000"/>
                <w:sz w:val="22"/>
              </w:rPr>
            </w:pPr>
          </w:p>
        </w:tc>
        <w:tc>
          <w:tcPr>
            <w:tcW w:w="1945" w:type="dxa"/>
            <w:vAlign w:val="center"/>
          </w:tcPr>
          <w:p w14:paraId="1C28957B">
            <w:pPr>
              <w:spacing w:line="360" w:lineRule="auto"/>
              <w:jc w:val="center"/>
              <w:rPr>
                <w:rFonts w:hint="eastAsia" w:asciiTheme="minorEastAsia" w:hAnsiTheme="minorEastAsia"/>
                <w:color w:val="FF0000"/>
                <w:sz w:val="22"/>
                <w:lang w:val="en-US" w:eastAsia="zh-CN"/>
              </w:rPr>
            </w:pPr>
            <w:r>
              <w:rPr>
                <w:rFonts w:hint="eastAsia" w:asciiTheme="minorEastAsia" w:hAnsiTheme="minorEastAsia"/>
                <w:color w:val="FF0000"/>
                <w:sz w:val="22"/>
                <w:lang w:val="en-US" w:eastAsia="zh-CN"/>
              </w:rPr>
              <w:t>金洲</w:t>
            </w:r>
          </w:p>
        </w:tc>
        <w:tc>
          <w:tcPr>
            <w:tcW w:w="3662" w:type="dxa"/>
            <w:vAlign w:val="center"/>
          </w:tcPr>
          <w:p w14:paraId="3377D7C5">
            <w:pPr>
              <w:keepNext w:val="0"/>
              <w:keepLines w:val="0"/>
              <w:pageBreakBefore w:val="0"/>
              <w:widowControl w:val="0"/>
              <w:kinsoku/>
              <w:wordWrap/>
              <w:overflowPunct/>
              <w:topLinePunct w:val="0"/>
              <w:autoSpaceDE/>
              <w:autoSpaceDN/>
              <w:bidi w:val="0"/>
              <w:adjustRightInd/>
              <w:snapToGrid/>
              <w:spacing w:line="360" w:lineRule="auto"/>
              <w:ind w:firstLine="220" w:firstLineChars="100"/>
              <w:jc w:val="center"/>
              <w:textAlignment w:val="auto"/>
              <w:rPr>
                <w:rFonts w:hint="eastAsia"/>
                <w:color w:val="FF0000"/>
                <w:sz w:val="22"/>
                <w:lang w:val="en-US" w:eastAsia="zh-CN"/>
              </w:rPr>
            </w:pPr>
            <w:r>
              <w:rPr>
                <w:rFonts w:hint="eastAsia"/>
                <w:color w:val="FF0000"/>
                <w:sz w:val="22"/>
                <w:lang w:val="en-US" w:eastAsia="zh-CN"/>
              </w:rPr>
              <w:t>浙江金洲管道科技股份有限公司</w:t>
            </w:r>
          </w:p>
        </w:tc>
        <w:tc>
          <w:tcPr>
            <w:tcW w:w="993" w:type="dxa"/>
            <w:vAlign w:val="center"/>
          </w:tcPr>
          <w:p w14:paraId="7C745787">
            <w:pPr>
              <w:spacing w:line="360" w:lineRule="auto"/>
              <w:jc w:val="center"/>
              <w:rPr>
                <w:rFonts w:asciiTheme="minorEastAsia" w:hAnsiTheme="minorEastAsia"/>
                <w:color w:val="FF0000"/>
                <w:sz w:val="22"/>
              </w:rPr>
            </w:pPr>
          </w:p>
        </w:tc>
      </w:tr>
      <w:tr w14:paraId="76598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Merge w:val="continue"/>
            <w:vAlign w:val="center"/>
          </w:tcPr>
          <w:p w14:paraId="45B29EFA">
            <w:pPr>
              <w:spacing w:line="360" w:lineRule="auto"/>
              <w:jc w:val="center"/>
              <w:rPr>
                <w:rFonts w:hint="eastAsia" w:asciiTheme="minorEastAsia" w:hAnsiTheme="minorEastAsia" w:eastAsiaTheme="minorEastAsia" w:cstheme="minorEastAsia"/>
                <w:color w:val="FF0000"/>
                <w:sz w:val="22"/>
              </w:rPr>
            </w:pPr>
          </w:p>
        </w:tc>
        <w:tc>
          <w:tcPr>
            <w:tcW w:w="1856" w:type="dxa"/>
            <w:vMerge w:val="continue"/>
            <w:vAlign w:val="center"/>
          </w:tcPr>
          <w:p w14:paraId="12B8EE74">
            <w:pPr>
              <w:spacing w:line="360" w:lineRule="auto"/>
              <w:jc w:val="center"/>
              <w:rPr>
                <w:rFonts w:asciiTheme="minorEastAsia" w:hAnsiTheme="minorEastAsia"/>
                <w:color w:val="FF0000"/>
                <w:sz w:val="22"/>
              </w:rPr>
            </w:pPr>
          </w:p>
        </w:tc>
        <w:tc>
          <w:tcPr>
            <w:tcW w:w="1945" w:type="dxa"/>
            <w:vAlign w:val="center"/>
          </w:tcPr>
          <w:p w14:paraId="3CD03FAC">
            <w:pPr>
              <w:spacing w:line="360" w:lineRule="auto"/>
              <w:jc w:val="center"/>
              <w:rPr>
                <w:rFonts w:hint="eastAsia" w:asciiTheme="minorEastAsia" w:hAnsiTheme="minorEastAsia"/>
                <w:color w:val="FF0000"/>
                <w:sz w:val="22"/>
                <w:lang w:val="en-US" w:eastAsia="zh-CN"/>
              </w:rPr>
            </w:pPr>
            <w:r>
              <w:rPr>
                <w:rFonts w:hint="eastAsia" w:asciiTheme="minorEastAsia" w:hAnsiTheme="minorEastAsia"/>
                <w:color w:val="FF0000"/>
                <w:sz w:val="22"/>
                <w:lang w:val="en-US" w:eastAsia="zh-CN"/>
              </w:rPr>
              <w:t>友发</w:t>
            </w:r>
          </w:p>
        </w:tc>
        <w:tc>
          <w:tcPr>
            <w:tcW w:w="3662" w:type="dxa"/>
            <w:vAlign w:val="center"/>
          </w:tcPr>
          <w:p w14:paraId="4AB062FB">
            <w:pPr>
              <w:keepNext w:val="0"/>
              <w:keepLines w:val="0"/>
              <w:pageBreakBefore w:val="0"/>
              <w:widowControl w:val="0"/>
              <w:kinsoku/>
              <w:wordWrap/>
              <w:overflowPunct/>
              <w:topLinePunct w:val="0"/>
              <w:autoSpaceDE/>
              <w:autoSpaceDN/>
              <w:bidi w:val="0"/>
              <w:adjustRightInd/>
              <w:snapToGrid/>
              <w:spacing w:line="360" w:lineRule="auto"/>
              <w:ind w:firstLine="220" w:firstLineChars="100"/>
              <w:jc w:val="center"/>
              <w:textAlignment w:val="auto"/>
              <w:rPr>
                <w:rFonts w:hint="eastAsia"/>
                <w:color w:val="FF0000"/>
                <w:sz w:val="22"/>
                <w:lang w:val="en-US" w:eastAsia="zh-CN"/>
              </w:rPr>
            </w:pPr>
            <w:r>
              <w:rPr>
                <w:rFonts w:hint="eastAsia"/>
                <w:color w:val="FF0000"/>
                <w:sz w:val="22"/>
                <w:lang w:val="en-US" w:eastAsia="zh-CN"/>
              </w:rPr>
              <w:t>天津友发钢管集团股份有限公司</w:t>
            </w:r>
          </w:p>
        </w:tc>
        <w:tc>
          <w:tcPr>
            <w:tcW w:w="993" w:type="dxa"/>
            <w:vAlign w:val="center"/>
          </w:tcPr>
          <w:p w14:paraId="51D95D18">
            <w:pPr>
              <w:spacing w:line="360" w:lineRule="auto"/>
              <w:jc w:val="center"/>
              <w:rPr>
                <w:rFonts w:asciiTheme="minorEastAsia" w:hAnsiTheme="minorEastAsia"/>
                <w:color w:val="FF0000"/>
                <w:sz w:val="22"/>
              </w:rPr>
            </w:pPr>
          </w:p>
        </w:tc>
      </w:tr>
    </w:tbl>
    <w:p w14:paraId="37E95D59">
      <w:pPr>
        <w:spacing w:line="360" w:lineRule="auto"/>
        <w:ind w:firstLine="440" w:firstLineChars="200"/>
        <w:rPr>
          <w:rFonts w:asciiTheme="minorEastAsia" w:hAnsiTheme="minorEastAsia"/>
          <w:sz w:val="22"/>
        </w:rPr>
      </w:pPr>
      <w:r>
        <w:rPr>
          <w:rFonts w:hint="eastAsia" w:asciiTheme="minorEastAsia" w:hAnsiTheme="minorEastAsia"/>
          <w:sz w:val="22"/>
        </w:rPr>
        <w:t>2、主要材料技术标准和质量要求如下：</w:t>
      </w:r>
    </w:p>
    <w:p w14:paraId="6EDACCBC">
      <w:pPr>
        <w:spacing w:line="360" w:lineRule="auto"/>
        <w:ind w:firstLine="440" w:firstLineChars="200"/>
        <w:rPr>
          <w:rFonts w:asciiTheme="minorEastAsia" w:hAnsiTheme="minorEastAsia"/>
          <w:sz w:val="22"/>
        </w:rPr>
      </w:pPr>
      <w:r>
        <w:rPr>
          <w:rFonts w:hint="eastAsia" w:asciiTheme="minorEastAsia" w:hAnsiTheme="minorEastAsia"/>
          <w:sz w:val="22"/>
        </w:rPr>
        <w:t>本技术条件是最低限度的技术要求，并未对一切技术细节作出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14:paraId="35034304">
      <w:pPr>
        <w:spacing w:line="360" w:lineRule="auto"/>
        <w:ind w:firstLine="442" w:firstLineChars="200"/>
        <w:rPr>
          <w:rFonts w:asciiTheme="minorEastAsia" w:hAnsiTheme="minorEastAsia"/>
          <w:b/>
          <w:sz w:val="22"/>
        </w:rPr>
      </w:pPr>
      <w:r>
        <w:rPr>
          <w:rFonts w:hint="eastAsia" w:asciiTheme="minorEastAsia" w:hAnsiTheme="minorEastAsia"/>
          <w:b/>
          <w:sz w:val="22"/>
        </w:rPr>
        <w:t>七、其他说明</w:t>
      </w:r>
    </w:p>
    <w:p w14:paraId="752281E9">
      <w:pPr>
        <w:spacing w:line="360" w:lineRule="auto"/>
        <w:ind w:firstLine="440" w:firstLineChars="200"/>
        <w:rPr>
          <w:rFonts w:asciiTheme="minorEastAsia" w:hAnsiTheme="minorEastAsia"/>
          <w:sz w:val="22"/>
        </w:rPr>
      </w:pPr>
      <w:r>
        <w:rPr>
          <w:rFonts w:hint="eastAsia" w:asciiTheme="minorEastAsia" w:hAnsiTheme="minorEastAsia"/>
          <w:sz w:val="22"/>
        </w:rPr>
        <w:t>1、投标人应认真理解和熟悉招标文件和设计图纸，并于投标前自行踏勘现场，充分了解并分析施工条件（包括施工现场红线范围内需要拆除的部位）；工程施工所需水、电、路、渣土堆放、施工便道修建等是否满足施工需求，承包人必须根据其自身施工条件，考虑自备电源发电、场地硬化、施工便道填筑等，招标人对于现有的施工条件将不增加任何投入，涉及到的（水、电、路、渣土堆放、施工便道修建等）增加投入的因素，投标人在投标报价中予以考虑，结算时概不调整；临时设施产生的道路硬化、工程竣工后需拆徐恢复原样。</w:t>
      </w:r>
    </w:p>
    <w:p w14:paraId="3648837F">
      <w:pPr>
        <w:spacing w:line="360" w:lineRule="auto"/>
        <w:ind w:firstLine="440" w:firstLineChars="200"/>
        <w:rPr>
          <w:rFonts w:asciiTheme="minorEastAsia" w:hAnsiTheme="minorEastAsia"/>
          <w:sz w:val="22"/>
        </w:rPr>
      </w:pPr>
      <w:r>
        <w:rPr>
          <w:rFonts w:hint="eastAsia" w:asciiTheme="minorEastAsia" w:hAnsiTheme="minorEastAsia"/>
          <w:sz w:val="22"/>
        </w:rPr>
        <w:t>2、工程量清单中每一项目的工作内容，分部分项工程量清单中“项目特征”内容描述不详尽的，以设计图纸、《建设工程工程量清单计价规范》（GB50500-2013）及相关规范为准，设计图纸内的全部内容被认为综合在工程量清单中各项目工作内容内，施工材料及施工方法均须满足设计和规范要求。</w:t>
      </w:r>
    </w:p>
    <w:p w14:paraId="6F295C52">
      <w:pPr>
        <w:spacing w:line="360" w:lineRule="auto"/>
        <w:ind w:firstLine="440" w:firstLineChars="200"/>
        <w:rPr>
          <w:rFonts w:asciiTheme="minorEastAsia" w:hAnsiTheme="minorEastAsia"/>
          <w:sz w:val="22"/>
        </w:rPr>
      </w:pPr>
      <w:r>
        <w:rPr>
          <w:rFonts w:hint="eastAsia" w:asciiTheme="minorEastAsia" w:hAnsiTheme="minorEastAsia"/>
          <w:sz w:val="22"/>
        </w:rPr>
        <w:t>3、工程量清单报价应包括完成招标文件规定的工程量清单项目所需的全部费用，其内含：</w:t>
      </w:r>
    </w:p>
    <w:p w14:paraId="2BE54500">
      <w:pPr>
        <w:spacing w:line="360" w:lineRule="auto"/>
        <w:ind w:firstLine="440" w:firstLineChars="200"/>
        <w:rPr>
          <w:rFonts w:asciiTheme="minorEastAsia" w:hAnsiTheme="minorEastAsia"/>
          <w:sz w:val="22"/>
        </w:rPr>
      </w:pPr>
      <w:r>
        <w:rPr>
          <w:rFonts w:hint="eastAsia" w:asciiTheme="minorEastAsia" w:hAnsiTheme="minorEastAsia"/>
          <w:sz w:val="22"/>
        </w:rPr>
        <w:t>①包括分部分项工程费、措施费、其它项目费和规费、税金；</w:t>
      </w:r>
    </w:p>
    <w:p w14:paraId="39DD840C">
      <w:pPr>
        <w:spacing w:line="360" w:lineRule="auto"/>
        <w:ind w:firstLine="440" w:firstLineChars="200"/>
        <w:rPr>
          <w:rFonts w:asciiTheme="minorEastAsia" w:hAnsiTheme="minorEastAsia"/>
          <w:sz w:val="22"/>
        </w:rPr>
      </w:pPr>
      <w:r>
        <w:rPr>
          <w:rFonts w:hint="eastAsia" w:asciiTheme="minorEastAsia" w:hAnsiTheme="minorEastAsia"/>
          <w:sz w:val="22"/>
        </w:rPr>
        <w:t>②包括完成每分部分项工程所含全部工程内容的费用；</w:t>
      </w:r>
    </w:p>
    <w:p w14:paraId="48220F7B">
      <w:pPr>
        <w:spacing w:line="360" w:lineRule="auto"/>
        <w:ind w:firstLine="440" w:firstLineChars="200"/>
        <w:rPr>
          <w:rFonts w:asciiTheme="minorEastAsia" w:hAnsiTheme="minorEastAsia"/>
          <w:sz w:val="22"/>
        </w:rPr>
      </w:pPr>
      <w:r>
        <w:rPr>
          <w:rFonts w:hint="eastAsia" w:asciiTheme="minorEastAsia" w:hAnsiTheme="minorEastAsia"/>
          <w:sz w:val="22"/>
        </w:rPr>
        <w:t>③包括完成每项工程内容所需的全部费用；</w:t>
      </w:r>
    </w:p>
    <w:p w14:paraId="5EFBCAE3">
      <w:pPr>
        <w:spacing w:line="360" w:lineRule="auto"/>
        <w:ind w:firstLine="440" w:firstLineChars="200"/>
        <w:rPr>
          <w:rFonts w:asciiTheme="minorEastAsia" w:hAnsiTheme="minorEastAsia"/>
          <w:sz w:val="22"/>
        </w:rPr>
      </w:pPr>
      <w:r>
        <w:rPr>
          <w:rFonts w:hint="eastAsia" w:asciiTheme="minorEastAsia" w:hAnsiTheme="minorEastAsia"/>
          <w:sz w:val="22"/>
        </w:rPr>
        <w:t>④工程量清单项目中没有体现的，施工中又必须发生的工程内容所需的费用；</w:t>
      </w:r>
    </w:p>
    <w:p w14:paraId="02D45414">
      <w:pPr>
        <w:spacing w:line="360" w:lineRule="auto"/>
        <w:ind w:firstLine="440" w:firstLineChars="200"/>
        <w:rPr>
          <w:rFonts w:asciiTheme="minorEastAsia" w:hAnsiTheme="minorEastAsia"/>
          <w:sz w:val="22"/>
        </w:rPr>
      </w:pPr>
      <w:r>
        <w:rPr>
          <w:rFonts w:hint="eastAsia" w:asciiTheme="minorEastAsia" w:hAnsiTheme="minorEastAsia"/>
          <w:sz w:val="22"/>
        </w:rPr>
        <w:t>⑤考虑风险因素而调整的费用；</w:t>
      </w:r>
    </w:p>
    <w:p w14:paraId="6FF7A4FF">
      <w:pPr>
        <w:spacing w:line="360" w:lineRule="auto"/>
        <w:ind w:firstLine="440" w:firstLineChars="200"/>
        <w:rPr>
          <w:rFonts w:asciiTheme="minorEastAsia" w:hAnsiTheme="minorEastAsia"/>
          <w:sz w:val="22"/>
        </w:rPr>
      </w:pPr>
      <w:r>
        <w:rPr>
          <w:rFonts w:hint="eastAsia" w:asciiTheme="minorEastAsia" w:hAnsiTheme="minorEastAsia"/>
          <w:sz w:val="22"/>
        </w:rPr>
        <w:t>⑥因招标人在招标文件中的要求而发生的费用。</w:t>
      </w:r>
    </w:p>
    <w:p w14:paraId="6DA4996B">
      <w:pPr>
        <w:spacing w:line="360" w:lineRule="auto"/>
        <w:ind w:firstLine="440" w:firstLineChars="200"/>
        <w:rPr>
          <w:rFonts w:asciiTheme="minorEastAsia" w:hAnsiTheme="minorEastAsia"/>
          <w:sz w:val="22"/>
        </w:rPr>
      </w:pPr>
      <w:r>
        <w:rPr>
          <w:rFonts w:hint="eastAsia" w:asciiTheme="minorEastAsia" w:hAnsiTheme="minorEastAsia"/>
          <w:sz w:val="22"/>
        </w:rPr>
        <w:t>4、对招标人所列的措施项目，投标人可根据工程实际与施工组织设计进行增补，不可竞争费不可更改。结算时，除工程变更引起施工方案改变外，承包人不得以招标工程措施项目清单缺项为由要求新增措施项目。措施费投标人须全面考虑，除招标文件中另有规定外，如有漏项，按投标人让利考虑。</w:t>
      </w:r>
    </w:p>
    <w:p w14:paraId="53F337BF">
      <w:pPr>
        <w:spacing w:line="360" w:lineRule="auto"/>
        <w:ind w:firstLine="440" w:firstLineChars="200"/>
        <w:rPr>
          <w:rFonts w:asciiTheme="minorEastAsia" w:hAnsiTheme="minorEastAsia"/>
          <w:sz w:val="22"/>
        </w:rPr>
      </w:pPr>
      <w:r>
        <w:rPr>
          <w:rFonts w:hint="eastAsia" w:asciiTheme="minorEastAsia" w:hAnsiTheme="minorEastAsia"/>
          <w:sz w:val="22"/>
        </w:rPr>
        <w:t>5、若设计图纸、招标文件中相关条款及清单描述有冲突的，投标人应在“澄清答疑”环节中向招标人提出，招标人将在“澄清答疑”环节中答复；投标人未在“澄清答疑”环节提出的，则最终解释权归属于招标人。</w:t>
      </w: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FhNDI2NzI5M2FmOTJhZDBhZjU5ZmE3MjI4Zjc1MTgifQ=="/>
  </w:docVars>
  <w:rsids>
    <w:rsidRoot w:val="007216EE"/>
    <w:rsid w:val="00010537"/>
    <w:rsid w:val="000918CE"/>
    <w:rsid w:val="000B4442"/>
    <w:rsid w:val="000E4EFC"/>
    <w:rsid w:val="000F0F71"/>
    <w:rsid w:val="00110532"/>
    <w:rsid w:val="00135F54"/>
    <w:rsid w:val="001918E0"/>
    <w:rsid w:val="001A4FE1"/>
    <w:rsid w:val="001D63D0"/>
    <w:rsid w:val="002365A9"/>
    <w:rsid w:val="002C7843"/>
    <w:rsid w:val="002F4B81"/>
    <w:rsid w:val="0035412E"/>
    <w:rsid w:val="00364708"/>
    <w:rsid w:val="00365827"/>
    <w:rsid w:val="00394EF6"/>
    <w:rsid w:val="003E6A22"/>
    <w:rsid w:val="00403F89"/>
    <w:rsid w:val="00480D2C"/>
    <w:rsid w:val="004950B5"/>
    <w:rsid w:val="004A2003"/>
    <w:rsid w:val="004B1576"/>
    <w:rsid w:val="004D0895"/>
    <w:rsid w:val="0050066B"/>
    <w:rsid w:val="005136AA"/>
    <w:rsid w:val="00522799"/>
    <w:rsid w:val="0052678C"/>
    <w:rsid w:val="00531B35"/>
    <w:rsid w:val="00591850"/>
    <w:rsid w:val="005A65A1"/>
    <w:rsid w:val="005C1C94"/>
    <w:rsid w:val="00640023"/>
    <w:rsid w:val="006B3088"/>
    <w:rsid w:val="006C1D24"/>
    <w:rsid w:val="006C71B3"/>
    <w:rsid w:val="007216EE"/>
    <w:rsid w:val="00787904"/>
    <w:rsid w:val="007E10E0"/>
    <w:rsid w:val="00801BFF"/>
    <w:rsid w:val="00847CE5"/>
    <w:rsid w:val="00864452"/>
    <w:rsid w:val="00876B6F"/>
    <w:rsid w:val="00910F8C"/>
    <w:rsid w:val="00917415"/>
    <w:rsid w:val="00927DA5"/>
    <w:rsid w:val="00934BB6"/>
    <w:rsid w:val="0093552C"/>
    <w:rsid w:val="00955791"/>
    <w:rsid w:val="00965503"/>
    <w:rsid w:val="00973768"/>
    <w:rsid w:val="009D4EC2"/>
    <w:rsid w:val="009E6462"/>
    <w:rsid w:val="00A12B36"/>
    <w:rsid w:val="00A61BA3"/>
    <w:rsid w:val="00AA5070"/>
    <w:rsid w:val="00AD1268"/>
    <w:rsid w:val="00AE6169"/>
    <w:rsid w:val="00AF3547"/>
    <w:rsid w:val="00B77257"/>
    <w:rsid w:val="00BF0684"/>
    <w:rsid w:val="00C30855"/>
    <w:rsid w:val="00C42D0E"/>
    <w:rsid w:val="00C51FF7"/>
    <w:rsid w:val="00C65DC8"/>
    <w:rsid w:val="00D3387F"/>
    <w:rsid w:val="00D35105"/>
    <w:rsid w:val="00D77557"/>
    <w:rsid w:val="00D92B20"/>
    <w:rsid w:val="00DC00C4"/>
    <w:rsid w:val="00DC3B6C"/>
    <w:rsid w:val="00E07FAE"/>
    <w:rsid w:val="00EE0655"/>
    <w:rsid w:val="00EF2517"/>
    <w:rsid w:val="00F54A72"/>
    <w:rsid w:val="00F82DC4"/>
    <w:rsid w:val="02753E85"/>
    <w:rsid w:val="03FE67C2"/>
    <w:rsid w:val="06F2361A"/>
    <w:rsid w:val="0A72479A"/>
    <w:rsid w:val="0CAD666C"/>
    <w:rsid w:val="1EF4654F"/>
    <w:rsid w:val="2A5C79BD"/>
    <w:rsid w:val="345D4801"/>
    <w:rsid w:val="45CB1921"/>
    <w:rsid w:val="5AC674A3"/>
    <w:rsid w:val="62EE44E7"/>
    <w:rsid w:val="71551BD5"/>
    <w:rsid w:val="71D41EA1"/>
    <w:rsid w:val="7B7A2964"/>
    <w:rsid w:val="7C014D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Hyperlink"/>
    <w:basedOn w:val="8"/>
    <w:semiHidden/>
    <w:unhideWhenUsed/>
    <w:qFormat/>
    <w:uiPriority w:val="99"/>
    <w:rPr>
      <w:color w:val="0000FF"/>
      <w:u w:val="single"/>
    </w:rPr>
  </w:style>
  <w:style w:type="character" w:customStyle="1" w:styleId="10">
    <w:name w:val="页眉 Char"/>
    <w:basedOn w:val="8"/>
    <w:link w:val="4"/>
    <w:qFormat/>
    <w:uiPriority w:val="99"/>
    <w:rPr>
      <w:sz w:val="18"/>
      <w:szCs w:val="18"/>
    </w:rPr>
  </w:style>
  <w:style w:type="character" w:customStyle="1" w:styleId="11">
    <w:name w:val="页脚 Char"/>
    <w:basedOn w:val="8"/>
    <w:link w:val="3"/>
    <w:qFormat/>
    <w:uiPriority w:val="99"/>
    <w:rPr>
      <w:sz w:val="18"/>
      <w:szCs w:val="18"/>
    </w:rPr>
  </w:style>
  <w:style w:type="character" w:customStyle="1" w:styleId="12">
    <w:name w:val="批注框文本 Char"/>
    <w:basedOn w:val="8"/>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3579</Words>
  <Characters>3694</Characters>
  <Lines>19</Lines>
  <Paragraphs>5</Paragraphs>
  <TotalTime>6</TotalTime>
  <ScaleCrop>false</ScaleCrop>
  <LinksUpToDate>false</LinksUpToDate>
  <CharactersWithSpaces>3695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2023-06-05T04:27:00Z</dcterms:created>
  <dc:creator>lujinzhi</dc:creator>
  <cp:lastModifiedBy>          温衡°</cp:lastModifiedBy>
  <dcterms:modified xsi:type="dcterms:W3CDTF">2024-08-16T08:54:35Z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077A773D5C8D4C489CB6D70DF90C005A_12</vt:lpwstr>
  </property>
</Properties>
</file>