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楷体" w:hAnsi="华文楷体" w:eastAsia="华文楷体" w:cs="华文楷体"/>
          <w:b/>
          <w:sz w:val="40"/>
          <w:szCs w:val="40"/>
        </w:rPr>
      </w:pPr>
      <w:r>
        <w:rPr>
          <w:rFonts w:hint="eastAsia" w:ascii="华文楷体" w:hAnsi="华文楷体" w:eastAsia="华文楷体" w:cs="华文楷体"/>
          <w:b/>
          <w:sz w:val="40"/>
          <w:szCs w:val="40"/>
        </w:rPr>
        <w:t>清单编制说明</w:t>
      </w:r>
    </w:p>
    <w:p>
      <w:pPr>
        <w:numPr>
          <w:ilvl w:val="0"/>
          <w:numId w:val="1"/>
        </w:numPr>
        <w:spacing w:line="360" w:lineRule="auto"/>
        <w:rPr>
          <w:rFonts w:ascii="华文楷体" w:hAnsi="华文楷体" w:eastAsia="华文楷体" w:cs="华文楷体"/>
          <w:b/>
          <w:bCs/>
          <w:sz w:val="28"/>
          <w:szCs w:val="28"/>
        </w:rPr>
      </w:pPr>
      <w:r>
        <w:rPr>
          <w:rFonts w:hint="eastAsia" w:ascii="华文楷体" w:hAnsi="华文楷体" w:eastAsia="华文楷体" w:cs="华文楷体"/>
          <w:b/>
          <w:bCs/>
          <w:sz w:val="28"/>
          <w:szCs w:val="28"/>
        </w:rPr>
        <w:t>工程概况</w:t>
      </w:r>
    </w:p>
    <w:p>
      <w:pPr>
        <w:pStyle w:val="22"/>
        <w:widowControl/>
        <w:spacing w:before="0" w:beforeAutospacing="0" w:after="0" w:afterAutospacing="0" w:line="360" w:lineRule="auto"/>
        <w:ind w:firstLine="560" w:firstLineChars="200"/>
        <w:rPr>
          <w:rFonts w:hint="eastAsia" w:ascii="华文楷体" w:hAnsi="华文楷体" w:eastAsia="华文楷体" w:cs="华文楷体"/>
          <w:sz w:val="28"/>
          <w:szCs w:val="28"/>
          <w:highlight w:val="none"/>
        </w:rPr>
      </w:pPr>
      <w:r>
        <w:rPr>
          <w:rFonts w:hint="eastAsia" w:ascii="华文楷体" w:hAnsi="华文楷体" w:eastAsia="华文楷体" w:cs="华文楷体"/>
          <w:sz w:val="28"/>
          <w:szCs w:val="28"/>
          <w:highlight w:val="none"/>
        </w:rPr>
        <w:t>南京大学仙林校区26号、27号宿舍楼金刚纱窗、限位器安装，位于南京大学</w:t>
      </w:r>
      <w:r>
        <w:rPr>
          <w:rFonts w:hint="eastAsia" w:ascii="华文楷体" w:hAnsi="华文楷体" w:eastAsia="华文楷体" w:cs="华文楷体"/>
          <w:sz w:val="28"/>
          <w:szCs w:val="28"/>
          <w:highlight w:val="none"/>
          <w:lang w:val="en-US" w:eastAsia="zh-CN"/>
        </w:rPr>
        <w:t>仙林校区</w:t>
      </w:r>
      <w:r>
        <w:rPr>
          <w:rFonts w:hint="eastAsia" w:ascii="华文楷体" w:hAnsi="华文楷体" w:eastAsia="华文楷体" w:cs="华文楷体"/>
          <w:sz w:val="28"/>
          <w:szCs w:val="28"/>
          <w:highlight w:val="none"/>
        </w:rPr>
        <w:t>，项目内容:南京大学仙林校区26号、27号宿舍楼金刚纱窗、限位器安装</w:t>
      </w:r>
      <w:r>
        <w:rPr>
          <w:rFonts w:hint="eastAsia" w:ascii="华文楷体" w:hAnsi="华文楷体" w:eastAsia="华文楷体" w:cs="华文楷体"/>
          <w:sz w:val="28"/>
          <w:szCs w:val="28"/>
          <w:highlight w:val="none"/>
          <w:lang w:val="en-US" w:eastAsia="zh-CN"/>
        </w:rPr>
        <w:t>等</w:t>
      </w:r>
      <w:r>
        <w:rPr>
          <w:rFonts w:hint="eastAsia" w:ascii="华文楷体" w:hAnsi="华文楷体" w:eastAsia="华文楷体" w:cs="华文楷体"/>
          <w:sz w:val="28"/>
          <w:szCs w:val="28"/>
          <w:highlight w:val="none"/>
        </w:rPr>
        <w:t>。</w:t>
      </w:r>
    </w:p>
    <w:p>
      <w:pPr>
        <w:pStyle w:val="22"/>
        <w:widowControl/>
        <w:spacing w:before="0" w:beforeAutospacing="0" w:after="0" w:afterAutospacing="0" w:line="360" w:lineRule="auto"/>
        <w:ind w:firstLine="560" w:firstLineChars="200"/>
        <w:rPr>
          <w:rFonts w:hint="eastAsia" w:ascii="华文楷体" w:hAnsi="华文楷体" w:eastAsia="华文楷体" w:cs="华文楷体"/>
          <w:kern w:val="2"/>
          <w:sz w:val="28"/>
          <w:szCs w:val="28"/>
          <w:highlight w:val="none"/>
          <w:lang w:eastAsia="zh-CN"/>
        </w:rPr>
      </w:pPr>
      <w:r>
        <w:rPr>
          <w:rFonts w:hint="eastAsia" w:ascii="华文楷体" w:hAnsi="华文楷体" w:eastAsia="华文楷体" w:cs="华文楷体"/>
          <w:kern w:val="2"/>
          <w:sz w:val="28"/>
          <w:szCs w:val="28"/>
          <w:highlight w:val="none"/>
        </w:rPr>
        <w:t>施工的范围: 详见图纸</w:t>
      </w:r>
      <w:r>
        <w:rPr>
          <w:rFonts w:hint="eastAsia" w:ascii="华文楷体" w:hAnsi="华文楷体" w:eastAsia="华文楷体" w:cs="华文楷体"/>
          <w:kern w:val="2"/>
          <w:sz w:val="28"/>
          <w:szCs w:val="28"/>
          <w:highlight w:val="none"/>
          <w:lang w:eastAsia="zh-CN"/>
        </w:rPr>
        <w:t>。</w:t>
      </w:r>
    </w:p>
    <w:p>
      <w:pPr>
        <w:numPr>
          <w:ilvl w:val="0"/>
          <w:numId w:val="1"/>
        </w:numPr>
        <w:spacing w:line="360" w:lineRule="auto"/>
        <w:rPr>
          <w:rFonts w:ascii="华文楷体" w:hAnsi="华文楷体" w:eastAsia="华文楷体" w:cs="华文楷体"/>
          <w:b/>
          <w:bCs/>
          <w:sz w:val="28"/>
          <w:szCs w:val="28"/>
          <w:highlight w:val="none"/>
        </w:rPr>
      </w:pPr>
      <w:r>
        <w:rPr>
          <w:rFonts w:hint="eastAsia" w:ascii="华文楷体" w:hAnsi="华文楷体" w:eastAsia="华文楷体" w:cs="华文楷体"/>
          <w:b/>
          <w:bCs/>
          <w:sz w:val="28"/>
          <w:szCs w:val="28"/>
          <w:highlight w:val="none"/>
        </w:rPr>
        <w:t>工程招标和分包范围</w:t>
      </w:r>
    </w:p>
    <w:p>
      <w:pPr>
        <w:autoSpaceDE w:val="0"/>
        <w:autoSpaceDN w:val="0"/>
        <w:adjustRightInd w:val="0"/>
        <w:spacing w:line="360" w:lineRule="auto"/>
        <w:ind w:firstLine="560" w:firstLineChars="200"/>
        <w:jc w:val="left"/>
        <w:rPr>
          <w:rFonts w:ascii="华文楷体" w:hAnsi="华文楷体" w:eastAsia="华文楷体" w:cs="华文楷体"/>
          <w:sz w:val="28"/>
          <w:szCs w:val="28"/>
        </w:rPr>
      </w:pPr>
      <w:r>
        <w:rPr>
          <w:rFonts w:hint="eastAsia" w:ascii="华文楷体" w:hAnsi="华文楷体" w:eastAsia="华文楷体" w:cs="华文楷体"/>
          <w:sz w:val="28"/>
          <w:szCs w:val="28"/>
          <w:highlight w:val="none"/>
        </w:rPr>
        <w:t>本项目招标清单范围等所有内容，</w:t>
      </w:r>
      <w:r>
        <w:rPr>
          <w:rFonts w:hint="eastAsia" w:ascii="华文楷体" w:hAnsi="华文楷体" w:eastAsia="华文楷体" w:cs="华文楷体"/>
          <w:sz w:val="28"/>
          <w:szCs w:val="28"/>
        </w:rPr>
        <w:t>本项目共一个标段，无其它专业分包项。</w:t>
      </w:r>
    </w:p>
    <w:p>
      <w:pPr>
        <w:spacing w:line="360" w:lineRule="auto"/>
        <w:rPr>
          <w:rFonts w:ascii="华文楷体" w:hAnsi="华文楷体" w:eastAsia="华文楷体" w:cs="华文楷体"/>
          <w:b/>
          <w:bCs/>
          <w:sz w:val="28"/>
          <w:szCs w:val="28"/>
        </w:rPr>
      </w:pPr>
      <w:r>
        <w:rPr>
          <w:rFonts w:hint="eastAsia" w:ascii="华文楷体" w:hAnsi="华文楷体" w:eastAsia="华文楷体" w:cs="华文楷体"/>
          <w:b/>
          <w:bCs/>
          <w:sz w:val="28"/>
          <w:szCs w:val="28"/>
        </w:rPr>
        <w:t>三、编制依据</w:t>
      </w:r>
    </w:p>
    <w:p>
      <w:pPr>
        <w:autoSpaceDE w:val="0"/>
        <w:autoSpaceDN w:val="0"/>
        <w:adjustRightInd w:val="0"/>
        <w:spacing w:line="360" w:lineRule="auto"/>
        <w:ind w:firstLine="560" w:firstLineChars="200"/>
        <w:jc w:val="left"/>
        <w:rPr>
          <w:rFonts w:ascii="华文楷体" w:hAnsi="华文楷体" w:eastAsia="华文楷体" w:cs="华文楷体"/>
          <w:sz w:val="28"/>
          <w:szCs w:val="28"/>
        </w:rPr>
      </w:pPr>
      <w:r>
        <w:rPr>
          <w:rFonts w:hint="eastAsia" w:ascii="华文楷体" w:hAnsi="华文楷体" w:eastAsia="华文楷体" w:cs="华文楷体"/>
          <w:sz w:val="28"/>
          <w:szCs w:val="28"/>
        </w:rPr>
        <w:t>1、现场实际勘查。</w:t>
      </w:r>
    </w:p>
    <w:p>
      <w:pPr>
        <w:autoSpaceDE w:val="0"/>
        <w:autoSpaceDN w:val="0"/>
        <w:adjustRightInd w:val="0"/>
        <w:spacing w:line="360" w:lineRule="auto"/>
        <w:ind w:firstLine="560" w:firstLineChars="200"/>
        <w:jc w:val="left"/>
        <w:rPr>
          <w:rFonts w:ascii="华文楷体" w:hAnsi="华文楷体" w:eastAsia="华文楷体" w:cs="华文楷体"/>
          <w:sz w:val="28"/>
          <w:szCs w:val="28"/>
        </w:rPr>
      </w:pPr>
      <w:r>
        <w:rPr>
          <w:rFonts w:hint="eastAsia" w:ascii="华文楷体" w:hAnsi="华文楷体" w:eastAsia="华文楷体" w:cs="华文楷体"/>
          <w:sz w:val="28"/>
          <w:szCs w:val="28"/>
        </w:rPr>
        <w:t>2、《省住房城乡建设厅关于&lt;建设工程工程量清单计价规范&gt;（GB50500—2013）及其9本工程量计算规范的贯彻意见》（苏建价〔2014〕448号）。</w:t>
      </w:r>
    </w:p>
    <w:p>
      <w:pPr>
        <w:autoSpaceDE w:val="0"/>
        <w:autoSpaceDN w:val="0"/>
        <w:adjustRightInd w:val="0"/>
        <w:spacing w:line="360" w:lineRule="auto"/>
        <w:ind w:firstLine="560" w:firstLineChars="200"/>
        <w:jc w:val="left"/>
        <w:rPr>
          <w:rFonts w:ascii="华文楷体" w:hAnsi="华文楷体" w:eastAsia="华文楷体" w:cs="华文楷体"/>
          <w:sz w:val="28"/>
          <w:szCs w:val="28"/>
        </w:rPr>
      </w:pPr>
      <w:r>
        <w:rPr>
          <w:rFonts w:hint="eastAsia" w:ascii="华文楷体" w:hAnsi="华文楷体" w:eastAsia="华文楷体" w:cs="华文楷体"/>
          <w:sz w:val="28"/>
          <w:szCs w:val="28"/>
        </w:rPr>
        <w:t>3、《省住房城乡建设厅关于建筑业实施营改增后江苏省建设工程计价依据调整的通知》（苏建价〔2016〕154号）中不可竞争费用的规定。</w:t>
      </w:r>
    </w:p>
    <w:p>
      <w:pPr>
        <w:autoSpaceDE w:val="0"/>
        <w:autoSpaceDN w:val="0"/>
        <w:adjustRightInd w:val="0"/>
        <w:spacing w:line="360" w:lineRule="auto"/>
        <w:ind w:firstLine="560" w:firstLineChars="200"/>
        <w:jc w:val="left"/>
        <w:rPr>
          <w:rFonts w:hint="eastAsia" w:ascii="华文楷体" w:hAnsi="华文楷体" w:eastAsia="华文楷体" w:cs="华文楷体"/>
          <w:sz w:val="28"/>
          <w:szCs w:val="28"/>
        </w:rPr>
      </w:pPr>
      <w:r>
        <w:rPr>
          <w:rFonts w:hint="eastAsia" w:ascii="华文楷体" w:hAnsi="华文楷体" w:eastAsia="华文楷体" w:cs="华文楷体"/>
          <w:sz w:val="28"/>
          <w:szCs w:val="28"/>
        </w:rPr>
        <w:t>4、《省住房城乡建设厅关于调整建设工程计价增值税税率的通知》（苏建函价﹝2019﹞178号）。</w:t>
      </w:r>
    </w:p>
    <w:p>
      <w:pPr>
        <w:autoSpaceDE w:val="0"/>
        <w:autoSpaceDN w:val="0"/>
        <w:adjustRightInd w:val="0"/>
        <w:spacing w:line="360" w:lineRule="auto"/>
        <w:ind w:firstLine="560" w:firstLineChars="200"/>
        <w:jc w:val="left"/>
        <w:rPr>
          <w:rFonts w:ascii="华文楷体" w:hAnsi="华文楷体" w:eastAsia="华文楷体" w:cs="华文楷体"/>
          <w:sz w:val="28"/>
          <w:szCs w:val="28"/>
        </w:rPr>
      </w:pPr>
      <w:r>
        <w:rPr>
          <w:rFonts w:hint="eastAsia" w:ascii="华文楷体" w:hAnsi="华文楷体" w:eastAsia="华文楷体" w:cs="华文楷体"/>
          <w:sz w:val="28"/>
          <w:szCs w:val="28"/>
          <w:lang w:val="en-US" w:eastAsia="zh-CN"/>
        </w:rPr>
        <w:t>5、</w:t>
      </w:r>
      <w:r>
        <w:rPr>
          <w:rFonts w:hint="eastAsia" w:ascii="华文楷体" w:hAnsi="华文楷体" w:eastAsia="华文楷体" w:cs="华文楷体"/>
          <w:sz w:val="28"/>
          <w:szCs w:val="28"/>
        </w:rPr>
        <w:t>其它文件等。</w:t>
      </w:r>
      <w:bookmarkStart w:id="0" w:name="_GoBack"/>
      <w:bookmarkEnd w:id="0"/>
    </w:p>
    <w:p>
      <w:pPr>
        <w:spacing w:line="360" w:lineRule="auto"/>
        <w:rPr>
          <w:rFonts w:ascii="华文楷体" w:hAnsi="华文楷体" w:eastAsia="华文楷体" w:cs="华文楷体"/>
          <w:b/>
          <w:bCs/>
          <w:sz w:val="28"/>
          <w:szCs w:val="28"/>
        </w:rPr>
      </w:pPr>
      <w:r>
        <w:rPr>
          <w:rFonts w:hint="eastAsia" w:ascii="华文楷体" w:hAnsi="华文楷体" w:eastAsia="华文楷体" w:cs="华文楷体"/>
          <w:b/>
          <w:bCs/>
          <w:sz w:val="28"/>
          <w:szCs w:val="28"/>
        </w:rPr>
        <w:t>四、图纸及工程量计算中的相关说明</w:t>
      </w:r>
    </w:p>
    <w:p>
      <w:pPr>
        <w:pStyle w:val="22"/>
        <w:widowControl/>
        <w:spacing w:before="0" w:beforeAutospacing="0" w:after="0" w:afterAutospacing="0"/>
        <w:ind w:firstLine="560" w:firstLineChars="200"/>
        <w:rPr>
          <w:rFonts w:ascii="华文楷体" w:hAnsi="华文楷体" w:eastAsia="华文楷体" w:cs="华文楷体"/>
          <w:kern w:val="2"/>
          <w:sz w:val="28"/>
          <w:szCs w:val="28"/>
        </w:rPr>
      </w:pPr>
      <w:r>
        <w:rPr>
          <w:rFonts w:hint="eastAsia" w:ascii="华文楷体" w:hAnsi="华文楷体" w:eastAsia="华文楷体" w:cs="华文楷体"/>
          <w:kern w:val="2"/>
          <w:sz w:val="28"/>
          <w:szCs w:val="28"/>
        </w:rPr>
        <w:t>1、通用部分</w:t>
      </w:r>
    </w:p>
    <w:p>
      <w:pPr>
        <w:pStyle w:val="22"/>
        <w:widowControl/>
        <w:spacing w:before="0" w:beforeAutospacing="0" w:after="0" w:afterAutospacing="0"/>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（1）投标人在投标报价时结合现场实际情况考虑夜间施工及围挡防护安全，结算时不再调整；</w:t>
      </w:r>
    </w:p>
    <w:p>
      <w:pPr>
        <w:pStyle w:val="22"/>
        <w:widowControl/>
        <w:spacing w:before="0" w:beforeAutospacing="0" w:after="0" w:afterAutospacing="0"/>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（2）本工程所需报验、报检费用甲方不予承担，投标人自行考虑计入投标报价；</w:t>
      </w:r>
    </w:p>
    <w:p>
      <w:pPr>
        <w:pStyle w:val="22"/>
        <w:widowControl/>
        <w:spacing w:before="0" w:beforeAutospacing="0" w:after="0" w:afterAutospacing="0"/>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（3）措施费项目投标单位可自行增添内容，自行报价，未计放部分按优惠考虑，结算时不再调整，投标人在报价中应充分考虑所涉及的各项措施费及风险因素后再进行报价，不可竞争费按规定报价；</w:t>
      </w:r>
    </w:p>
    <w:p>
      <w:pPr>
        <w:pStyle w:val="22"/>
        <w:widowControl/>
        <w:spacing w:before="0" w:beforeAutospacing="0" w:after="0" w:afterAutospacing="0"/>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（4）施工现场、交通运输情况及自然地理条件由投标人自行现场勘察，应充分考虑本工程场地现状的特点，可能对工程施工造成的影响并由此增加的费用等，做出考量一并考虑在投标报价中；</w:t>
      </w:r>
    </w:p>
    <w:p>
      <w:pPr>
        <w:pStyle w:val="22"/>
        <w:widowControl/>
        <w:spacing w:before="0" w:beforeAutospacing="0" w:after="0" w:afterAutospacing="0"/>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（5）清单中项目特征描述清单的主要特征，详见图纸，投标报价时应考虑图纸所示施工要求等一切费用；</w:t>
      </w:r>
    </w:p>
    <w:p>
      <w:pPr>
        <w:pStyle w:val="22"/>
        <w:widowControl/>
        <w:spacing w:before="0" w:beforeAutospacing="0" w:after="0" w:afterAutospacing="0"/>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6）工程量清单应与招标文件、招标项目图纸等文件结合起来查阅与理解。工程量清单中所描述的项目特征仅为招标人对该分部分项目工程特征的概述，而非是工程特征的全面描述，报价时必须按施工图纸及相关的国家规范的要求。</w:t>
      </w:r>
    </w:p>
    <w:p>
      <w:pPr>
        <w:pStyle w:val="22"/>
        <w:widowControl/>
        <w:spacing w:before="0" w:beforeAutospacing="0" w:after="0" w:afterAutospacing="0"/>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7）投标人在投标文件中应明确主要材料所报的品牌、规格型号及厂家，包括招标文件和工程量清单编制说明中已经列明的品牌或投标人自报材料的品牌，否则招标人有权对没有报品牌的主要材料指定相应的品牌，投标人无权拒绝。</w:t>
      </w:r>
    </w:p>
    <w:p>
      <w:pPr>
        <w:pStyle w:val="22"/>
        <w:widowControl/>
        <w:spacing w:before="0" w:beforeAutospacing="0" w:after="0" w:afterAutospacing="0"/>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8）承包人对分包商配合内容为：①垂直运输；②现场文明施工；③外墙脚手施工和井道内脚手施工；④专业队伍预留洞、槽等及修补；⑤提供临时用水、电的接口；⑥材料堆放点（房间）及办公场所；⑦安全宣传，措施落实及处理；⑧成品保护；⑨竣工资料收集及工程统一报验。</w:t>
      </w:r>
    </w:p>
    <w:p>
      <w:pPr>
        <w:pStyle w:val="22"/>
        <w:widowControl/>
        <w:spacing w:before="0" w:beforeAutospacing="0" w:after="0" w:afterAutospacing="0"/>
        <w:ind w:firstLine="560" w:firstLineChars="200"/>
        <w:rPr>
          <w:rFonts w:ascii="华文楷体" w:hAnsi="华文楷体" w:eastAsia="华文楷体" w:cs="华文楷体"/>
          <w:kern w:val="2"/>
          <w:sz w:val="28"/>
          <w:szCs w:val="28"/>
        </w:rPr>
      </w:pPr>
      <w:r>
        <w:rPr>
          <w:rFonts w:hint="eastAsia" w:ascii="华文楷体" w:hAnsi="华文楷体" w:eastAsia="华文楷体" w:cs="华文楷体"/>
          <w:kern w:val="2"/>
          <w:sz w:val="28"/>
          <w:szCs w:val="28"/>
        </w:rPr>
        <w:t>2、</w:t>
      </w:r>
      <w:r>
        <w:rPr>
          <w:rFonts w:hint="eastAsia" w:ascii="华文楷体" w:hAnsi="华文楷体" w:eastAsia="华文楷体" w:cs="华文楷体"/>
          <w:kern w:val="2"/>
          <w:sz w:val="28"/>
          <w:szCs w:val="28"/>
          <w:lang w:val="en-US" w:eastAsia="zh-CN"/>
        </w:rPr>
        <w:t>装饰</w:t>
      </w:r>
      <w:r>
        <w:rPr>
          <w:rFonts w:hint="eastAsia" w:ascii="华文楷体" w:hAnsi="华文楷体" w:eastAsia="华文楷体" w:cs="华文楷体"/>
          <w:kern w:val="2"/>
          <w:sz w:val="28"/>
          <w:szCs w:val="28"/>
        </w:rPr>
        <w:t>部分</w:t>
      </w:r>
    </w:p>
    <w:p>
      <w:pPr>
        <w:pStyle w:val="22"/>
        <w:widowControl/>
        <w:spacing w:before="0" w:beforeAutospacing="0" w:after="0" w:afterAutospacing="0"/>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（1）本项目投标人应自行察看现场，对前期施工中的各种施工因素需综合考虑并分项报价。</w:t>
      </w:r>
    </w:p>
    <w:p>
      <w:pPr>
        <w:pStyle w:val="22"/>
        <w:widowControl/>
        <w:spacing w:before="0" w:beforeAutospacing="0" w:after="0" w:afterAutospacing="0"/>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（2）工程量清单描述不全时，应结合设计图纸，并应当综合考虑施工规范，地方规章等要求，所产生的费用计入报价中。</w:t>
      </w:r>
    </w:p>
    <w:p>
      <w:pPr>
        <w:pStyle w:val="22"/>
        <w:widowControl/>
        <w:spacing w:before="0" w:beforeAutospacing="0" w:after="0" w:afterAutospacing="0"/>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w:t>
      </w:r>
      <w:r>
        <w:rPr>
          <w:rFonts w:hint="eastAsia" w:ascii="华文楷体" w:hAnsi="华文楷体" w:eastAsia="华文楷体" w:cs="华文楷体"/>
          <w:sz w:val="28"/>
          <w:szCs w:val="28"/>
          <w:lang w:val="en-US" w:eastAsia="zh-CN"/>
        </w:rPr>
        <w:t>3</w:t>
      </w:r>
      <w:r>
        <w:rPr>
          <w:rFonts w:hint="eastAsia" w:ascii="华文楷体" w:hAnsi="华文楷体" w:eastAsia="华文楷体" w:cs="华文楷体"/>
          <w:sz w:val="28"/>
          <w:szCs w:val="28"/>
        </w:rPr>
        <w:t>）清单中项目特征描述不论是否完整，项目特征描述是否全面，招标图纸上的内容均含在此次报价内，投标人未在答疑阶段提出的均视为让利，该部分费用含在投标总费用当中，中标后不做调整（设计变更除外）。</w:t>
      </w:r>
    </w:p>
    <w:p>
      <w:pPr>
        <w:pStyle w:val="22"/>
        <w:widowControl/>
        <w:spacing w:before="0" w:beforeAutospacing="0" w:after="0" w:afterAutospacing="0"/>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w:t>
      </w:r>
      <w:r>
        <w:rPr>
          <w:rFonts w:hint="eastAsia" w:ascii="华文楷体" w:hAnsi="华文楷体" w:eastAsia="华文楷体" w:cs="华文楷体"/>
          <w:sz w:val="28"/>
          <w:szCs w:val="28"/>
          <w:lang w:val="en-US" w:eastAsia="zh-CN"/>
        </w:rPr>
        <w:t>4</w:t>
      </w:r>
      <w:r>
        <w:rPr>
          <w:rFonts w:hint="eastAsia" w:ascii="华文楷体" w:hAnsi="华文楷体" w:eastAsia="华文楷体" w:cs="华文楷体"/>
          <w:sz w:val="28"/>
          <w:szCs w:val="28"/>
        </w:rPr>
        <w:t>）工程量清单应与招标文件、招标项目图纸等文件结合起来查阅与理解，工程量清单中所描述的项目特征仅为招标人对该分部分项目工程特征的概述，而非是工程特征的全面描述，报价时必须按施工图纸及相关的国家规范的要求。</w:t>
      </w:r>
    </w:p>
    <w:p>
      <w:pPr>
        <w:spacing w:line="360" w:lineRule="auto"/>
        <w:rPr>
          <w:rFonts w:hint="eastAsia" w:ascii="华文楷体" w:hAnsi="华文楷体" w:eastAsia="华文楷体" w:cs="华文楷体"/>
          <w:sz w:val="28"/>
          <w:szCs w:val="28"/>
        </w:rPr>
      </w:pPr>
      <w:r>
        <w:rPr>
          <w:rFonts w:hint="eastAsia" w:ascii="华文楷体" w:hAnsi="华文楷体" w:eastAsia="华文楷体" w:cs="华文楷体"/>
          <w:kern w:val="2"/>
          <w:sz w:val="28"/>
          <w:szCs w:val="28"/>
        </w:rPr>
        <w:t>（</w:t>
      </w:r>
      <w:r>
        <w:rPr>
          <w:rFonts w:hint="eastAsia" w:ascii="华文楷体" w:hAnsi="华文楷体" w:eastAsia="华文楷体" w:cs="华文楷体"/>
          <w:kern w:val="2"/>
          <w:sz w:val="28"/>
          <w:szCs w:val="28"/>
          <w:lang w:val="en-US" w:eastAsia="zh-CN"/>
        </w:rPr>
        <w:t>5</w:t>
      </w:r>
      <w:r>
        <w:rPr>
          <w:rFonts w:hint="eastAsia" w:ascii="华文楷体" w:hAnsi="华文楷体" w:eastAsia="华文楷体" w:cs="华文楷体"/>
          <w:kern w:val="2"/>
          <w:sz w:val="28"/>
          <w:szCs w:val="28"/>
        </w:rPr>
        <w:t>）</w:t>
      </w:r>
      <w:r>
        <w:rPr>
          <w:rFonts w:hint="eastAsia" w:ascii="华文楷体" w:hAnsi="华文楷体" w:eastAsia="华文楷体" w:cs="华文楷体"/>
          <w:kern w:val="2"/>
          <w:sz w:val="28"/>
          <w:szCs w:val="28"/>
          <w:lang w:val="en-US" w:eastAsia="zh-CN"/>
        </w:rPr>
        <w:t>施工中应当考虑窗户成品保护，不得损坏原状窗户，投标人应综合考虑在报价中，结算时不予调整。</w:t>
      </w:r>
    </w:p>
    <w:p>
      <w:pPr>
        <w:autoSpaceDE w:val="0"/>
        <w:autoSpaceDN w:val="0"/>
        <w:adjustRightInd w:val="0"/>
        <w:spacing w:line="360" w:lineRule="auto"/>
        <w:ind w:firstLine="560" w:firstLineChars="200"/>
        <w:jc w:val="left"/>
        <w:rPr>
          <w:rFonts w:hint="default" w:ascii="华文楷体" w:hAnsi="华文楷体" w:eastAsia="华文楷体" w:cs="华文楷体"/>
          <w:sz w:val="28"/>
          <w:szCs w:val="28"/>
          <w:lang w:val="en-US" w:eastAsia="zh-CN"/>
        </w:rPr>
      </w:pPr>
    </w:p>
    <w:p>
      <w:pPr>
        <w:spacing w:line="360" w:lineRule="auto"/>
        <w:rPr>
          <w:rFonts w:ascii="华文楷体" w:hAnsi="华文楷体" w:eastAsia="华文楷体" w:cs="华文楷体"/>
          <w:b/>
          <w:bCs/>
          <w:sz w:val="28"/>
          <w:szCs w:val="28"/>
        </w:rPr>
      </w:pPr>
      <w:r>
        <w:rPr>
          <w:rFonts w:hint="eastAsia" w:ascii="华文楷体" w:hAnsi="华文楷体" w:eastAsia="华文楷体" w:cs="华文楷体"/>
          <w:b/>
          <w:bCs/>
          <w:sz w:val="28"/>
          <w:szCs w:val="28"/>
        </w:rPr>
        <w:t>五、主要材料设备</w:t>
      </w:r>
    </w:p>
    <w:p>
      <w:pPr>
        <w:spacing w:line="360" w:lineRule="auto"/>
        <w:ind w:firstLine="560" w:firstLineChars="200"/>
        <w:rPr>
          <w:rFonts w:ascii="华文楷体" w:hAnsi="华文楷体" w:eastAsia="华文楷体" w:cs="华文楷体"/>
          <w:sz w:val="28"/>
          <w:szCs w:val="28"/>
        </w:rPr>
      </w:pPr>
      <w:r>
        <w:rPr>
          <w:rFonts w:hint="eastAsia" w:ascii="华文楷体" w:hAnsi="华文楷体" w:eastAsia="华文楷体" w:cs="华文楷体"/>
          <w:sz w:val="28"/>
          <w:szCs w:val="28"/>
        </w:rPr>
        <w:t>（一）投标人负责采购的主要材料设备</w:t>
      </w:r>
    </w:p>
    <w:p>
      <w:pPr>
        <w:spacing w:line="360" w:lineRule="auto"/>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本次招标要求投标人在投标时承诺使用招标人提供的品牌，在合同履行过程中进行选择。投标人拟选择推荐的厂家或品牌以外的产品时，必须满足相关技术标准和质量要求，并在“澄清答疑”环节中向招标人提出具体品牌，招标人将在“澄清答疑”环节中答复是否同意。否则中标后，招标人有权要求中标人使用推荐品牌表中的品牌和产品系列，价格不作调整。</w:t>
      </w:r>
    </w:p>
    <w:p>
      <w:pPr>
        <w:spacing w:line="360" w:lineRule="auto"/>
        <w:ind w:firstLine="560" w:firstLineChars="200"/>
        <w:rPr>
          <w:rFonts w:ascii="华文楷体" w:hAnsi="华文楷体" w:eastAsia="华文楷体" w:cs="华文楷体"/>
          <w:sz w:val="28"/>
          <w:szCs w:val="28"/>
        </w:rPr>
      </w:pPr>
      <w:r>
        <w:rPr>
          <w:rFonts w:hint="eastAsia" w:ascii="华文楷体" w:hAnsi="华文楷体" w:eastAsia="华文楷体" w:cs="华文楷体"/>
          <w:sz w:val="28"/>
          <w:szCs w:val="28"/>
        </w:rPr>
        <w:t>1、主要材料品牌推荐表如下：</w:t>
      </w:r>
    </w:p>
    <w:tbl>
      <w:tblPr>
        <w:tblStyle w:val="25"/>
        <w:tblW w:w="94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34"/>
        <w:gridCol w:w="1219"/>
        <w:gridCol w:w="2067"/>
        <w:gridCol w:w="4700"/>
        <w:gridCol w:w="10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b/>
                <w:bCs/>
                <w:sz w:val="28"/>
                <w:szCs w:val="28"/>
              </w:rPr>
            </w:pPr>
            <w:r>
              <w:rPr>
                <w:rFonts w:hint="eastAsia" w:ascii="华文楷体" w:hAnsi="华文楷体" w:eastAsia="华文楷体" w:cs="华文楷体"/>
                <w:b/>
                <w:bCs/>
                <w:sz w:val="28"/>
                <w:szCs w:val="28"/>
              </w:rPr>
              <w:t>序号</w:t>
            </w:r>
          </w:p>
        </w:tc>
        <w:tc>
          <w:tcPr>
            <w:tcW w:w="1219"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b/>
                <w:bCs/>
                <w:sz w:val="28"/>
                <w:szCs w:val="28"/>
              </w:rPr>
            </w:pPr>
            <w:r>
              <w:rPr>
                <w:rFonts w:hint="eastAsia" w:ascii="华文楷体" w:hAnsi="华文楷体" w:eastAsia="华文楷体" w:cs="华文楷体"/>
                <w:b/>
                <w:bCs/>
                <w:sz w:val="28"/>
                <w:szCs w:val="28"/>
              </w:rPr>
              <w:t>材料设备名称</w:t>
            </w:r>
          </w:p>
        </w:tc>
        <w:tc>
          <w:tcPr>
            <w:tcW w:w="2067"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b/>
                <w:bCs/>
                <w:sz w:val="28"/>
                <w:szCs w:val="28"/>
              </w:rPr>
            </w:pPr>
            <w:r>
              <w:rPr>
                <w:rFonts w:hint="eastAsia" w:ascii="华文楷体" w:hAnsi="华文楷体" w:eastAsia="华文楷体" w:cs="华文楷体"/>
                <w:b/>
                <w:bCs/>
                <w:sz w:val="28"/>
                <w:szCs w:val="28"/>
              </w:rPr>
              <w:t>推荐品牌</w:t>
            </w:r>
          </w:p>
        </w:tc>
        <w:tc>
          <w:tcPr>
            <w:tcW w:w="4700"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b/>
                <w:bCs/>
                <w:sz w:val="28"/>
                <w:szCs w:val="28"/>
              </w:rPr>
            </w:pPr>
            <w:r>
              <w:rPr>
                <w:rFonts w:hint="eastAsia" w:ascii="华文楷体" w:hAnsi="华文楷体" w:eastAsia="华文楷体" w:cs="华文楷体"/>
                <w:b/>
                <w:bCs/>
                <w:sz w:val="28"/>
                <w:szCs w:val="28"/>
              </w:rPr>
              <w:t>生产商全称</w:t>
            </w:r>
          </w:p>
        </w:tc>
        <w:tc>
          <w:tcPr>
            <w:tcW w:w="1026"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b/>
                <w:bCs/>
                <w:sz w:val="28"/>
                <w:szCs w:val="28"/>
              </w:rPr>
            </w:pPr>
            <w:r>
              <w:rPr>
                <w:rFonts w:hint="eastAsia" w:ascii="华文楷体" w:hAnsi="华文楷体" w:eastAsia="华文楷体" w:cs="华文楷体"/>
                <w:b/>
                <w:bCs/>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vMerge w:val="restart"/>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p>
            <w:pPr>
              <w:widowControl/>
              <w:jc w:val="center"/>
              <w:textAlignment w:val="center"/>
              <w:rPr>
                <w:rFonts w:ascii="华文楷体" w:hAnsi="华文楷体" w:eastAsia="华文楷体" w:cs="华文楷体"/>
                <w:sz w:val="28"/>
                <w:szCs w:val="28"/>
              </w:rPr>
            </w:pPr>
            <w:r>
              <w:rPr>
                <w:rFonts w:hint="eastAsia" w:ascii="宋体" w:hAnsi="宋体" w:eastAsia="宋体" w:cs="宋体"/>
                <w:color w:val="000000"/>
                <w:kern w:val="0"/>
                <w:sz w:val="20"/>
                <w:szCs w:val="20"/>
                <w:lang w:bidi="ar"/>
              </w:rPr>
              <w:t>1</w:t>
            </w:r>
          </w:p>
        </w:tc>
        <w:tc>
          <w:tcPr>
            <w:tcW w:w="1219" w:type="dxa"/>
            <w:vMerge w:val="restart"/>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color w:val="000000" w:themeColor="text1"/>
                <w:sz w:val="28"/>
                <w:szCs w:val="28"/>
                <w14:textFill>
                  <w14:solidFill>
                    <w14:schemeClr w14:val="tx1"/>
                  </w14:solidFill>
                </w14:textFill>
              </w:rPr>
            </w:pPr>
            <w:r>
              <w:rPr>
                <w:rFonts w:hint="eastAsia" w:ascii="宋体" w:hAnsi="宋体" w:eastAsia="宋体" w:cs="宋体"/>
                <w:color w:val="000000"/>
                <w:kern w:val="0"/>
                <w:sz w:val="20"/>
                <w:szCs w:val="20"/>
                <w:lang w:bidi="ar"/>
              </w:rPr>
              <w:t>型材</w:t>
            </w:r>
          </w:p>
        </w:tc>
        <w:tc>
          <w:tcPr>
            <w:tcW w:w="2067"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r>
              <w:rPr>
                <w:rFonts w:hint="eastAsia" w:ascii="宋体" w:hAnsi="宋体" w:eastAsia="宋体" w:cs="宋体"/>
                <w:color w:val="000000"/>
                <w:kern w:val="0"/>
                <w:sz w:val="20"/>
                <w:szCs w:val="20"/>
                <w:lang w:bidi="ar"/>
              </w:rPr>
              <w:t>亚洲铝业</w:t>
            </w:r>
          </w:p>
        </w:tc>
        <w:tc>
          <w:tcPr>
            <w:tcW w:w="4700"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r>
              <w:rPr>
                <w:rFonts w:hint="eastAsia" w:ascii="宋体" w:hAnsi="宋体" w:eastAsia="宋体" w:cs="宋体"/>
                <w:color w:val="000000"/>
                <w:kern w:val="0"/>
                <w:sz w:val="20"/>
                <w:szCs w:val="20"/>
                <w:lang w:bidi="ar"/>
              </w:rPr>
              <w:t>肇庆亚洲铝厂有限公司</w:t>
            </w:r>
          </w:p>
        </w:tc>
        <w:tc>
          <w:tcPr>
            <w:tcW w:w="1026"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vMerge w:val="continue"/>
            <w:shd w:val="clear" w:color="auto" w:fill="auto"/>
            <w:tcMar>
              <w:top w:w="12" w:type="dxa"/>
              <w:left w:w="12" w:type="dxa"/>
              <w:right w:w="12" w:type="dxa"/>
            </w:tcMar>
            <w:vAlign w:val="center"/>
          </w:tcPr>
          <w:p>
            <w:pPr>
              <w:jc w:val="center"/>
              <w:rPr>
                <w:rFonts w:ascii="华文楷体" w:hAnsi="华文楷体" w:eastAsia="华文楷体" w:cs="华文楷体"/>
                <w:sz w:val="28"/>
                <w:szCs w:val="28"/>
              </w:rPr>
            </w:pPr>
          </w:p>
        </w:tc>
        <w:tc>
          <w:tcPr>
            <w:tcW w:w="1219" w:type="dxa"/>
            <w:vMerge w:val="continue"/>
            <w:shd w:val="clear" w:color="auto" w:fill="auto"/>
            <w:tcMar>
              <w:top w:w="12" w:type="dxa"/>
              <w:left w:w="12" w:type="dxa"/>
              <w:right w:w="12" w:type="dxa"/>
            </w:tcMar>
            <w:vAlign w:val="center"/>
          </w:tcPr>
          <w:p>
            <w:pPr>
              <w:jc w:val="center"/>
              <w:rPr>
                <w:rFonts w:ascii="华文楷体" w:hAnsi="华文楷体" w:eastAsia="华文楷体" w:cs="华文楷体"/>
                <w:color w:val="000000" w:themeColor="text1"/>
                <w:kern w:val="0"/>
                <w:sz w:val="28"/>
                <w:szCs w:val="28"/>
                <w:lang w:bidi="ar"/>
                <w14:textFill>
                  <w14:solidFill>
                    <w14:schemeClr w14:val="tx1"/>
                  </w14:solidFill>
                </w14:textFill>
              </w:rPr>
            </w:pPr>
          </w:p>
        </w:tc>
        <w:tc>
          <w:tcPr>
            <w:tcW w:w="2067"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r>
              <w:rPr>
                <w:rFonts w:hint="eastAsia" w:ascii="宋体" w:hAnsi="宋体" w:eastAsia="宋体" w:cs="宋体"/>
                <w:color w:val="000000"/>
                <w:kern w:val="0"/>
                <w:sz w:val="20"/>
                <w:szCs w:val="20"/>
                <w:lang w:bidi="ar"/>
              </w:rPr>
              <w:t>凤铝</w:t>
            </w:r>
          </w:p>
        </w:tc>
        <w:tc>
          <w:tcPr>
            <w:tcW w:w="4700"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r>
              <w:rPr>
                <w:rFonts w:hint="eastAsia" w:ascii="宋体" w:hAnsi="宋体" w:eastAsia="宋体" w:cs="宋体"/>
                <w:color w:val="000000"/>
                <w:kern w:val="0"/>
                <w:sz w:val="20"/>
                <w:szCs w:val="20"/>
                <w:lang w:bidi="ar"/>
              </w:rPr>
              <w:t>广东凤铝铝业有限公司</w:t>
            </w:r>
          </w:p>
        </w:tc>
        <w:tc>
          <w:tcPr>
            <w:tcW w:w="1026"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vMerge w:val="continue"/>
            <w:shd w:val="clear" w:color="auto" w:fill="auto"/>
            <w:tcMar>
              <w:top w:w="12" w:type="dxa"/>
              <w:left w:w="12" w:type="dxa"/>
              <w:right w:w="12" w:type="dxa"/>
            </w:tcMar>
            <w:vAlign w:val="center"/>
          </w:tcPr>
          <w:p>
            <w:pPr>
              <w:jc w:val="center"/>
              <w:rPr>
                <w:rFonts w:ascii="华文楷体" w:hAnsi="华文楷体" w:eastAsia="华文楷体" w:cs="华文楷体"/>
                <w:sz w:val="28"/>
                <w:szCs w:val="28"/>
              </w:rPr>
            </w:pPr>
          </w:p>
        </w:tc>
        <w:tc>
          <w:tcPr>
            <w:tcW w:w="1219" w:type="dxa"/>
            <w:vMerge w:val="continue"/>
            <w:shd w:val="clear" w:color="auto" w:fill="auto"/>
            <w:tcMar>
              <w:top w:w="12" w:type="dxa"/>
              <w:left w:w="12" w:type="dxa"/>
              <w:right w:w="12" w:type="dxa"/>
            </w:tcMar>
            <w:vAlign w:val="center"/>
          </w:tcPr>
          <w:p>
            <w:pPr>
              <w:jc w:val="center"/>
              <w:rPr>
                <w:rFonts w:ascii="华文楷体" w:hAnsi="华文楷体" w:eastAsia="华文楷体" w:cs="华文楷体"/>
                <w:color w:val="000000" w:themeColor="text1"/>
                <w:kern w:val="0"/>
                <w:sz w:val="28"/>
                <w:szCs w:val="28"/>
                <w:lang w:bidi="ar"/>
                <w14:textFill>
                  <w14:solidFill>
                    <w14:schemeClr w14:val="tx1"/>
                  </w14:solidFill>
                </w14:textFill>
              </w:rPr>
            </w:pPr>
          </w:p>
        </w:tc>
        <w:tc>
          <w:tcPr>
            <w:tcW w:w="2067"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r>
              <w:rPr>
                <w:rFonts w:hint="eastAsia" w:ascii="宋体" w:hAnsi="宋体" w:eastAsia="宋体" w:cs="宋体"/>
                <w:color w:val="000000"/>
                <w:kern w:val="0"/>
                <w:sz w:val="20"/>
                <w:szCs w:val="20"/>
                <w:lang w:val="en-US" w:eastAsia="zh-CN" w:bidi="ar"/>
              </w:rPr>
              <w:t>栋</w:t>
            </w:r>
            <w:r>
              <w:rPr>
                <w:rFonts w:hint="eastAsia" w:ascii="宋体" w:hAnsi="宋体" w:eastAsia="宋体" w:cs="宋体"/>
                <w:color w:val="000000"/>
                <w:kern w:val="0"/>
                <w:sz w:val="20"/>
                <w:szCs w:val="20"/>
                <w:lang w:bidi="ar"/>
              </w:rPr>
              <w:t>梁</w:t>
            </w:r>
          </w:p>
        </w:tc>
        <w:tc>
          <w:tcPr>
            <w:tcW w:w="4700"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r>
              <w:rPr>
                <w:rFonts w:hint="eastAsia" w:ascii="宋体" w:hAnsi="宋体" w:eastAsia="宋体" w:cs="宋体"/>
                <w:color w:val="000000"/>
                <w:kern w:val="0"/>
                <w:sz w:val="20"/>
                <w:szCs w:val="20"/>
                <w:lang w:bidi="ar"/>
              </w:rPr>
              <w:t>栋梁铝业有限公司</w:t>
            </w:r>
          </w:p>
        </w:tc>
        <w:tc>
          <w:tcPr>
            <w:tcW w:w="1026"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vMerge w:val="restart"/>
            <w:shd w:val="clear" w:color="auto" w:fill="auto"/>
            <w:tcMar>
              <w:top w:w="12" w:type="dxa"/>
              <w:left w:w="12" w:type="dxa"/>
              <w:right w:w="12" w:type="dxa"/>
            </w:tcMar>
            <w:vAlign w:val="center"/>
          </w:tcPr>
          <w:p>
            <w:pPr>
              <w:jc w:val="center"/>
              <w:rPr>
                <w:rFonts w:ascii="华文楷体" w:hAnsi="华文楷体" w:eastAsia="华文楷体" w:cs="华文楷体"/>
                <w:sz w:val="28"/>
                <w:szCs w:val="28"/>
              </w:rPr>
            </w:pPr>
            <w:r>
              <w:rPr>
                <w:rFonts w:hint="eastAsia" w:ascii="宋体" w:hAnsi="宋体" w:eastAsia="宋体" w:cs="宋体"/>
                <w:color w:val="000000"/>
                <w:kern w:val="0"/>
                <w:sz w:val="20"/>
                <w:szCs w:val="20"/>
                <w:lang w:bidi="ar"/>
              </w:rPr>
              <w:t>2</w:t>
            </w:r>
          </w:p>
        </w:tc>
        <w:tc>
          <w:tcPr>
            <w:tcW w:w="1219" w:type="dxa"/>
            <w:vMerge w:val="restart"/>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color w:val="000000" w:themeColor="text1"/>
                <w:kern w:val="0"/>
                <w:sz w:val="28"/>
                <w:szCs w:val="28"/>
                <w:lang w:bidi="ar"/>
                <w14:textFill>
                  <w14:solidFill>
                    <w14:schemeClr w14:val="tx1"/>
                  </w14:solidFill>
                </w14:textFill>
              </w:rPr>
            </w:pPr>
            <w:r>
              <w:rPr>
                <w:rFonts w:hint="eastAsia" w:ascii="宋体" w:hAnsi="宋体" w:eastAsia="宋体" w:cs="宋体"/>
                <w:color w:val="000000"/>
                <w:kern w:val="0"/>
                <w:sz w:val="20"/>
                <w:szCs w:val="20"/>
                <w:lang w:bidi="ar"/>
              </w:rPr>
              <w:t>五金抉件</w:t>
            </w:r>
          </w:p>
        </w:tc>
        <w:tc>
          <w:tcPr>
            <w:tcW w:w="2067" w:type="dxa"/>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合和建筑五金</w:t>
            </w:r>
          </w:p>
        </w:tc>
        <w:tc>
          <w:tcPr>
            <w:tcW w:w="4700" w:type="dxa"/>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广东合和建筑五金制品有限公司</w:t>
            </w:r>
          </w:p>
        </w:tc>
        <w:tc>
          <w:tcPr>
            <w:tcW w:w="1026"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vMerge w:val="continue"/>
            <w:shd w:val="clear" w:color="auto" w:fill="auto"/>
            <w:tcMar>
              <w:top w:w="12" w:type="dxa"/>
              <w:left w:w="12" w:type="dxa"/>
              <w:right w:w="12" w:type="dxa"/>
            </w:tcMar>
            <w:vAlign w:val="center"/>
          </w:tcPr>
          <w:p>
            <w:pPr>
              <w:jc w:val="center"/>
              <w:rPr>
                <w:rFonts w:ascii="华文楷体" w:hAnsi="华文楷体" w:eastAsia="华文楷体" w:cs="华文楷体"/>
                <w:sz w:val="28"/>
                <w:szCs w:val="28"/>
              </w:rPr>
            </w:pPr>
          </w:p>
        </w:tc>
        <w:tc>
          <w:tcPr>
            <w:tcW w:w="1219" w:type="dxa"/>
            <w:vMerge w:val="continue"/>
            <w:shd w:val="clear" w:color="auto" w:fill="auto"/>
            <w:tcMar>
              <w:top w:w="12" w:type="dxa"/>
              <w:left w:w="12" w:type="dxa"/>
              <w:right w:w="12" w:type="dxa"/>
            </w:tcMar>
            <w:vAlign w:val="center"/>
          </w:tcPr>
          <w:p>
            <w:pPr>
              <w:jc w:val="center"/>
              <w:rPr>
                <w:rFonts w:ascii="华文楷体" w:hAnsi="华文楷体" w:eastAsia="华文楷体" w:cs="华文楷体"/>
                <w:color w:val="000000" w:themeColor="text1"/>
                <w:kern w:val="0"/>
                <w:sz w:val="28"/>
                <w:szCs w:val="28"/>
                <w:lang w:bidi="ar"/>
                <w14:textFill>
                  <w14:solidFill>
                    <w14:schemeClr w14:val="tx1"/>
                  </w14:solidFill>
                </w14:textFill>
              </w:rPr>
            </w:pPr>
          </w:p>
        </w:tc>
        <w:tc>
          <w:tcPr>
            <w:tcW w:w="2067" w:type="dxa"/>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坚朗</w:t>
            </w:r>
          </w:p>
        </w:tc>
        <w:tc>
          <w:tcPr>
            <w:tcW w:w="4700" w:type="dxa"/>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广东坚朗五金制品股份有限公司</w:t>
            </w:r>
          </w:p>
        </w:tc>
        <w:tc>
          <w:tcPr>
            <w:tcW w:w="1026"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vMerge w:val="continue"/>
            <w:shd w:val="clear" w:color="auto" w:fill="auto"/>
            <w:tcMar>
              <w:top w:w="12" w:type="dxa"/>
              <w:left w:w="12" w:type="dxa"/>
              <w:right w:w="12" w:type="dxa"/>
            </w:tcMar>
            <w:vAlign w:val="center"/>
          </w:tcPr>
          <w:p>
            <w:pPr>
              <w:jc w:val="center"/>
              <w:rPr>
                <w:rFonts w:ascii="华文楷体" w:hAnsi="华文楷体" w:eastAsia="华文楷体" w:cs="华文楷体"/>
                <w:sz w:val="28"/>
                <w:szCs w:val="28"/>
              </w:rPr>
            </w:pPr>
          </w:p>
        </w:tc>
        <w:tc>
          <w:tcPr>
            <w:tcW w:w="1219" w:type="dxa"/>
            <w:vMerge w:val="continue"/>
            <w:shd w:val="clear" w:color="auto" w:fill="auto"/>
            <w:tcMar>
              <w:top w:w="12" w:type="dxa"/>
              <w:left w:w="12" w:type="dxa"/>
              <w:right w:w="12" w:type="dxa"/>
            </w:tcMar>
            <w:vAlign w:val="center"/>
          </w:tcPr>
          <w:p>
            <w:pPr>
              <w:jc w:val="center"/>
              <w:rPr>
                <w:rFonts w:ascii="华文楷体" w:hAnsi="华文楷体" w:eastAsia="华文楷体" w:cs="华文楷体"/>
                <w:color w:val="000000" w:themeColor="text1"/>
                <w:kern w:val="0"/>
                <w:sz w:val="28"/>
                <w:szCs w:val="28"/>
                <w:lang w:bidi="ar"/>
                <w14:textFill>
                  <w14:solidFill>
                    <w14:schemeClr w14:val="tx1"/>
                  </w14:solidFill>
                </w14:textFill>
              </w:rPr>
            </w:pPr>
          </w:p>
        </w:tc>
        <w:tc>
          <w:tcPr>
            <w:tcW w:w="2067" w:type="dxa"/>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杨氏立兴</w:t>
            </w:r>
          </w:p>
        </w:tc>
        <w:tc>
          <w:tcPr>
            <w:tcW w:w="4700" w:type="dxa"/>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青岛立兴杨氏门窗配件有限公司</w:t>
            </w:r>
          </w:p>
        </w:tc>
        <w:tc>
          <w:tcPr>
            <w:tcW w:w="1026"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vMerge w:val="restart"/>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r>
              <w:rPr>
                <w:rFonts w:hint="eastAsia" w:ascii="宋体" w:hAnsi="宋体" w:eastAsia="宋体" w:cs="宋体"/>
                <w:color w:val="000000"/>
                <w:kern w:val="0"/>
                <w:sz w:val="20"/>
                <w:szCs w:val="20"/>
                <w:lang w:bidi="ar"/>
              </w:rPr>
              <w:t>3</w:t>
            </w:r>
          </w:p>
        </w:tc>
        <w:tc>
          <w:tcPr>
            <w:tcW w:w="1219" w:type="dxa"/>
            <w:vMerge w:val="restart"/>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color w:val="000000" w:themeColor="text1"/>
                <w:kern w:val="0"/>
                <w:sz w:val="28"/>
                <w:szCs w:val="28"/>
                <w:lang w:bidi="ar"/>
                <w14:textFill>
                  <w14:solidFill>
                    <w14:schemeClr w14:val="tx1"/>
                  </w14:solidFill>
                </w14:textFill>
              </w:rPr>
            </w:pPr>
            <w:r>
              <w:rPr>
                <w:rFonts w:hint="eastAsia" w:ascii="宋体" w:hAnsi="宋体" w:eastAsia="宋体" w:cs="宋体"/>
                <w:color w:val="000000"/>
                <w:kern w:val="0"/>
                <w:sz w:val="20"/>
                <w:szCs w:val="20"/>
                <w:lang w:bidi="ar"/>
              </w:rPr>
              <w:t>不</w:t>
            </w:r>
            <w:r>
              <w:rPr>
                <w:rFonts w:hint="eastAsia" w:ascii="宋体" w:hAnsi="宋体" w:eastAsia="宋体" w:cs="宋体"/>
                <w:color w:val="000000"/>
                <w:kern w:val="0"/>
                <w:sz w:val="20"/>
                <w:szCs w:val="20"/>
                <w:lang w:val="en-US" w:eastAsia="zh-CN" w:bidi="ar"/>
              </w:rPr>
              <w:t>锈</w:t>
            </w:r>
            <w:r>
              <w:rPr>
                <w:rFonts w:hint="eastAsia" w:ascii="宋体" w:hAnsi="宋体" w:eastAsia="宋体" w:cs="宋体"/>
                <w:color w:val="000000"/>
                <w:kern w:val="0"/>
                <w:sz w:val="20"/>
                <w:szCs w:val="20"/>
                <w:lang w:bidi="ar"/>
              </w:rPr>
              <w:t>钢板</w:t>
            </w:r>
          </w:p>
        </w:tc>
        <w:tc>
          <w:tcPr>
            <w:tcW w:w="2067" w:type="dxa"/>
            <w:shd w:val="clear" w:color="auto" w:fill="auto"/>
            <w:tcMar>
              <w:top w:w="12" w:type="dxa"/>
              <w:left w:w="12" w:type="dxa"/>
              <w:right w:w="12" w:type="dxa"/>
            </w:tcMar>
            <w:vAlign w:val="center"/>
          </w:tcPr>
          <w:p>
            <w:pPr>
              <w:widowControl/>
              <w:jc w:val="center"/>
              <w:textAlignment w:val="center"/>
              <w:rPr>
                <w:rFonts w:ascii="宋体" w:hAnsi="宋体" w:eastAsia="宋体" w:cs="宋体"/>
                <w:kern w:val="0"/>
                <w:sz w:val="20"/>
                <w:szCs w:val="20"/>
                <w:lang w:bidi="ar"/>
              </w:rPr>
            </w:pPr>
            <w:r>
              <w:rPr>
                <w:rFonts w:hint="eastAsia" w:ascii="宋体" w:hAnsi="宋体" w:eastAsia="宋体" w:cs="宋体"/>
                <w:color w:val="000000"/>
                <w:kern w:val="0"/>
                <w:sz w:val="20"/>
                <w:szCs w:val="20"/>
                <w:lang w:bidi="ar"/>
              </w:rPr>
              <w:t>太钢</w:t>
            </w:r>
          </w:p>
        </w:tc>
        <w:tc>
          <w:tcPr>
            <w:tcW w:w="4700" w:type="dxa"/>
            <w:shd w:val="clear" w:color="auto" w:fill="auto"/>
            <w:tcMar>
              <w:top w:w="12" w:type="dxa"/>
              <w:left w:w="12" w:type="dxa"/>
              <w:right w:w="12" w:type="dxa"/>
            </w:tcMar>
            <w:vAlign w:val="center"/>
          </w:tcPr>
          <w:p>
            <w:pPr>
              <w:widowControl/>
              <w:jc w:val="center"/>
              <w:textAlignment w:val="center"/>
              <w:rPr>
                <w:rFonts w:ascii="宋体" w:hAnsi="宋体" w:eastAsia="宋体" w:cs="宋体"/>
                <w:kern w:val="0"/>
                <w:sz w:val="20"/>
                <w:szCs w:val="20"/>
                <w:lang w:bidi="ar"/>
              </w:rPr>
            </w:pPr>
            <w:r>
              <w:rPr>
                <w:rFonts w:hint="eastAsia" w:ascii="宋体" w:hAnsi="宋体" w:eastAsia="宋体" w:cs="宋体"/>
                <w:color w:val="000000"/>
                <w:kern w:val="0"/>
                <w:sz w:val="20"/>
                <w:szCs w:val="20"/>
                <w:lang w:bidi="ar"/>
              </w:rPr>
              <w:t>太原钢铁(集团)有限公司</w:t>
            </w:r>
          </w:p>
        </w:tc>
        <w:tc>
          <w:tcPr>
            <w:tcW w:w="1026"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vMerge w:val="continue"/>
            <w:shd w:val="clear" w:color="auto" w:fill="auto"/>
            <w:tcMar>
              <w:top w:w="12" w:type="dxa"/>
              <w:left w:w="12" w:type="dxa"/>
              <w:right w:w="12" w:type="dxa"/>
            </w:tcMar>
            <w:vAlign w:val="center"/>
          </w:tcPr>
          <w:p>
            <w:pPr>
              <w:jc w:val="center"/>
              <w:rPr>
                <w:rFonts w:ascii="华文楷体" w:hAnsi="华文楷体" w:eastAsia="华文楷体" w:cs="华文楷体"/>
                <w:sz w:val="28"/>
                <w:szCs w:val="28"/>
              </w:rPr>
            </w:pPr>
          </w:p>
        </w:tc>
        <w:tc>
          <w:tcPr>
            <w:tcW w:w="1219" w:type="dxa"/>
            <w:vMerge w:val="continue"/>
            <w:shd w:val="clear" w:color="auto" w:fill="auto"/>
            <w:tcMar>
              <w:top w:w="12" w:type="dxa"/>
              <w:left w:w="12" w:type="dxa"/>
              <w:right w:w="12" w:type="dxa"/>
            </w:tcMar>
            <w:vAlign w:val="center"/>
          </w:tcPr>
          <w:p>
            <w:pPr>
              <w:jc w:val="center"/>
              <w:rPr>
                <w:rFonts w:ascii="华文楷体" w:hAnsi="华文楷体" w:eastAsia="华文楷体" w:cs="华文楷体"/>
                <w:color w:val="000000" w:themeColor="text1"/>
                <w:kern w:val="0"/>
                <w:sz w:val="28"/>
                <w:szCs w:val="28"/>
                <w:lang w:bidi="ar"/>
                <w14:textFill>
                  <w14:solidFill>
                    <w14:schemeClr w14:val="tx1"/>
                  </w14:solidFill>
                </w14:textFill>
              </w:rPr>
            </w:pPr>
          </w:p>
        </w:tc>
        <w:tc>
          <w:tcPr>
            <w:tcW w:w="2067" w:type="dxa"/>
            <w:shd w:val="clear" w:color="auto" w:fill="auto"/>
            <w:tcMar>
              <w:top w:w="12" w:type="dxa"/>
              <w:left w:w="12" w:type="dxa"/>
              <w:right w:w="12" w:type="dxa"/>
            </w:tcMar>
            <w:vAlign w:val="center"/>
          </w:tcPr>
          <w:p>
            <w:pPr>
              <w:widowControl/>
              <w:jc w:val="center"/>
              <w:textAlignment w:val="center"/>
              <w:rPr>
                <w:rFonts w:hint="default"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ZPSS</w:t>
            </w:r>
          </w:p>
        </w:tc>
        <w:tc>
          <w:tcPr>
            <w:tcW w:w="4700" w:type="dxa"/>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浦项 (张家港)不锈钢股份有限公司</w:t>
            </w:r>
          </w:p>
        </w:tc>
        <w:tc>
          <w:tcPr>
            <w:tcW w:w="1026"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vMerge w:val="continue"/>
            <w:shd w:val="clear" w:color="auto" w:fill="auto"/>
            <w:tcMar>
              <w:top w:w="12" w:type="dxa"/>
              <w:left w:w="12" w:type="dxa"/>
              <w:right w:w="12" w:type="dxa"/>
            </w:tcMar>
            <w:vAlign w:val="center"/>
          </w:tcPr>
          <w:p>
            <w:pPr>
              <w:jc w:val="center"/>
              <w:rPr>
                <w:rFonts w:ascii="华文楷体" w:hAnsi="华文楷体" w:eastAsia="华文楷体" w:cs="华文楷体"/>
                <w:sz w:val="28"/>
                <w:szCs w:val="28"/>
              </w:rPr>
            </w:pPr>
          </w:p>
        </w:tc>
        <w:tc>
          <w:tcPr>
            <w:tcW w:w="1219" w:type="dxa"/>
            <w:vMerge w:val="continue"/>
            <w:shd w:val="clear" w:color="auto" w:fill="auto"/>
            <w:tcMar>
              <w:top w:w="12" w:type="dxa"/>
              <w:left w:w="12" w:type="dxa"/>
              <w:right w:w="12" w:type="dxa"/>
            </w:tcMar>
            <w:vAlign w:val="center"/>
          </w:tcPr>
          <w:p>
            <w:pPr>
              <w:jc w:val="center"/>
              <w:rPr>
                <w:rFonts w:ascii="华文楷体" w:hAnsi="华文楷体" w:eastAsia="华文楷体" w:cs="华文楷体"/>
                <w:color w:val="000000" w:themeColor="text1"/>
                <w:kern w:val="0"/>
                <w:sz w:val="28"/>
                <w:szCs w:val="28"/>
                <w:lang w:bidi="ar"/>
                <w14:textFill>
                  <w14:solidFill>
                    <w14:schemeClr w14:val="tx1"/>
                  </w14:solidFill>
                </w14:textFill>
              </w:rPr>
            </w:pPr>
          </w:p>
        </w:tc>
        <w:tc>
          <w:tcPr>
            <w:tcW w:w="2067" w:type="dxa"/>
            <w:shd w:val="clear" w:color="auto" w:fill="auto"/>
            <w:tcMar>
              <w:top w:w="12" w:type="dxa"/>
              <w:left w:w="12" w:type="dxa"/>
              <w:right w:w="12" w:type="dxa"/>
            </w:tcMar>
            <w:vAlign w:val="center"/>
          </w:tcPr>
          <w:p>
            <w:pPr>
              <w:widowControl/>
              <w:jc w:val="center"/>
              <w:textAlignment w:val="center"/>
              <w:rPr>
                <w:rFonts w:hint="eastAsia" w:ascii="宋体" w:hAnsi="宋体" w:eastAsia="宋体" w:cs="宋体"/>
                <w:kern w:val="0"/>
                <w:sz w:val="20"/>
                <w:szCs w:val="20"/>
                <w:lang w:eastAsia="zh-CN" w:bidi="ar"/>
              </w:rPr>
            </w:pPr>
            <w:r>
              <w:rPr>
                <w:rFonts w:hint="eastAsia" w:ascii="宋体" w:hAnsi="宋体" w:eastAsia="宋体" w:cs="宋体"/>
                <w:color w:val="000000"/>
                <w:kern w:val="0"/>
                <w:sz w:val="20"/>
                <w:szCs w:val="20"/>
                <w:lang w:val="en-US" w:eastAsia="zh-CN" w:bidi="ar"/>
              </w:rPr>
              <w:t>宝钢</w:t>
            </w:r>
          </w:p>
        </w:tc>
        <w:tc>
          <w:tcPr>
            <w:tcW w:w="4700" w:type="dxa"/>
            <w:shd w:val="clear" w:color="auto" w:fill="auto"/>
            <w:tcMar>
              <w:top w:w="12" w:type="dxa"/>
              <w:left w:w="12" w:type="dxa"/>
              <w:right w:w="12" w:type="dxa"/>
            </w:tcMar>
            <w:vAlign w:val="center"/>
          </w:tcPr>
          <w:p>
            <w:pPr>
              <w:widowControl/>
              <w:jc w:val="center"/>
              <w:textAlignment w:val="center"/>
              <w:rPr>
                <w:rFonts w:ascii="宋体" w:hAnsi="宋体" w:eastAsia="宋体" w:cs="宋体"/>
                <w:kern w:val="0"/>
                <w:sz w:val="20"/>
                <w:szCs w:val="20"/>
                <w:lang w:bidi="ar"/>
              </w:rPr>
            </w:pPr>
            <w:r>
              <w:rPr>
                <w:rFonts w:hint="eastAsia" w:ascii="宋体" w:hAnsi="宋体" w:eastAsia="宋体" w:cs="宋体"/>
                <w:color w:val="000000"/>
                <w:kern w:val="0"/>
                <w:sz w:val="20"/>
                <w:szCs w:val="20"/>
                <w:lang w:bidi="ar"/>
              </w:rPr>
              <w:t>上海宝钢股份有限公司</w:t>
            </w:r>
          </w:p>
        </w:tc>
        <w:tc>
          <w:tcPr>
            <w:tcW w:w="1026"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vMerge w:val="restart"/>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r>
              <w:rPr>
                <w:rFonts w:hint="eastAsia" w:ascii="宋体" w:hAnsi="宋体" w:eastAsia="宋体" w:cs="宋体"/>
                <w:color w:val="000000"/>
                <w:kern w:val="0"/>
                <w:sz w:val="20"/>
                <w:szCs w:val="20"/>
                <w:lang w:bidi="ar"/>
              </w:rPr>
              <w:t>4</w:t>
            </w:r>
          </w:p>
        </w:tc>
        <w:tc>
          <w:tcPr>
            <w:tcW w:w="1219" w:type="dxa"/>
            <w:vMerge w:val="restart"/>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color w:val="000000" w:themeColor="text1"/>
                <w:kern w:val="0"/>
                <w:sz w:val="28"/>
                <w:szCs w:val="28"/>
                <w:lang w:bidi="ar"/>
                <w14:textFill>
                  <w14:solidFill>
                    <w14:schemeClr w14:val="tx1"/>
                  </w14:solidFill>
                </w14:textFill>
              </w:rPr>
            </w:pPr>
            <w:r>
              <w:rPr>
                <w:rFonts w:hint="eastAsia" w:ascii="宋体" w:hAnsi="宋体" w:eastAsia="宋体" w:cs="宋体"/>
                <w:color w:val="000000"/>
                <w:kern w:val="0"/>
                <w:sz w:val="20"/>
                <w:szCs w:val="20"/>
                <w:lang w:bidi="ar"/>
              </w:rPr>
              <w:t>铝条</w:t>
            </w:r>
          </w:p>
        </w:tc>
        <w:tc>
          <w:tcPr>
            <w:tcW w:w="2067" w:type="dxa"/>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UOP</w:t>
            </w:r>
          </w:p>
        </w:tc>
        <w:tc>
          <w:tcPr>
            <w:tcW w:w="4700" w:type="dxa"/>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优欧辟环球油品工艺技术有限公司</w:t>
            </w:r>
          </w:p>
        </w:tc>
        <w:tc>
          <w:tcPr>
            <w:tcW w:w="1026"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vMerge w:val="continue"/>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tc>
        <w:tc>
          <w:tcPr>
            <w:tcW w:w="1219" w:type="dxa"/>
            <w:vMerge w:val="continue"/>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color w:val="000000" w:themeColor="text1"/>
                <w:kern w:val="0"/>
                <w:sz w:val="28"/>
                <w:szCs w:val="28"/>
                <w:lang w:bidi="ar"/>
                <w14:textFill>
                  <w14:solidFill>
                    <w14:schemeClr w14:val="tx1"/>
                  </w14:solidFill>
                </w14:textFill>
              </w:rPr>
            </w:pPr>
          </w:p>
        </w:tc>
        <w:tc>
          <w:tcPr>
            <w:tcW w:w="2067" w:type="dxa"/>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李赛克</w:t>
            </w:r>
          </w:p>
        </w:tc>
        <w:tc>
          <w:tcPr>
            <w:tcW w:w="4700" w:type="dxa"/>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李赛克机械贸易(上海)有限公司</w:t>
            </w:r>
          </w:p>
        </w:tc>
        <w:tc>
          <w:tcPr>
            <w:tcW w:w="1026"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vMerge w:val="continue"/>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tc>
        <w:tc>
          <w:tcPr>
            <w:tcW w:w="1219" w:type="dxa"/>
            <w:vMerge w:val="continue"/>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color w:val="000000" w:themeColor="text1"/>
                <w:kern w:val="0"/>
                <w:sz w:val="28"/>
                <w:szCs w:val="28"/>
                <w:lang w:bidi="ar"/>
                <w14:textFill>
                  <w14:solidFill>
                    <w14:schemeClr w14:val="tx1"/>
                  </w14:solidFill>
                </w14:textFill>
              </w:rPr>
            </w:pPr>
          </w:p>
        </w:tc>
        <w:tc>
          <w:tcPr>
            <w:tcW w:w="2067" w:type="dxa"/>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圣戈班</w:t>
            </w:r>
          </w:p>
        </w:tc>
        <w:tc>
          <w:tcPr>
            <w:tcW w:w="4700" w:type="dxa"/>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圣戈班(中国)投资有限公司</w:t>
            </w:r>
          </w:p>
        </w:tc>
        <w:tc>
          <w:tcPr>
            <w:tcW w:w="1026"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vMerge w:val="restart"/>
            <w:shd w:val="clear" w:color="auto" w:fill="auto"/>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5</w:t>
            </w:r>
          </w:p>
        </w:tc>
        <w:tc>
          <w:tcPr>
            <w:tcW w:w="1219" w:type="dxa"/>
            <w:vMerge w:val="restart"/>
            <w:shd w:val="clear" w:color="auto" w:fill="auto"/>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木工板、木饰面板</w:t>
            </w:r>
          </w:p>
        </w:tc>
        <w:tc>
          <w:tcPr>
            <w:tcW w:w="2067" w:type="dxa"/>
            <w:shd w:val="clear" w:color="auto" w:fill="auto"/>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莫干山</w:t>
            </w:r>
          </w:p>
        </w:tc>
        <w:tc>
          <w:tcPr>
            <w:tcW w:w="4700" w:type="dxa"/>
            <w:shd w:val="clear" w:color="auto" w:fill="auto"/>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浙江升华云峰新材股份有限公司</w:t>
            </w:r>
          </w:p>
        </w:tc>
        <w:tc>
          <w:tcPr>
            <w:tcW w:w="1026"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vMerge w:val="continue"/>
            <w:shd w:val="clear" w:color="auto" w:fill="auto"/>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20"/>
                <w:szCs w:val="20"/>
                <w:lang w:bidi="ar"/>
              </w:rPr>
            </w:pPr>
          </w:p>
        </w:tc>
        <w:tc>
          <w:tcPr>
            <w:tcW w:w="1219" w:type="dxa"/>
            <w:vMerge w:val="continue"/>
            <w:shd w:val="clear" w:color="auto" w:fill="auto"/>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20"/>
                <w:szCs w:val="20"/>
                <w:lang w:bidi="ar"/>
              </w:rPr>
            </w:pPr>
          </w:p>
        </w:tc>
        <w:tc>
          <w:tcPr>
            <w:tcW w:w="2067" w:type="dxa"/>
            <w:shd w:val="clear" w:color="auto" w:fill="auto"/>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兔宝宝</w:t>
            </w:r>
          </w:p>
        </w:tc>
        <w:tc>
          <w:tcPr>
            <w:tcW w:w="4700" w:type="dxa"/>
            <w:shd w:val="clear" w:color="auto" w:fill="auto"/>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德华兔宝宝装饰新材股份有限公司</w:t>
            </w:r>
          </w:p>
        </w:tc>
        <w:tc>
          <w:tcPr>
            <w:tcW w:w="1026"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vMerge w:val="continue"/>
            <w:shd w:val="clear" w:color="auto" w:fill="auto"/>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20"/>
                <w:szCs w:val="20"/>
                <w:lang w:bidi="ar"/>
              </w:rPr>
            </w:pPr>
          </w:p>
        </w:tc>
        <w:tc>
          <w:tcPr>
            <w:tcW w:w="1219" w:type="dxa"/>
            <w:vMerge w:val="continue"/>
            <w:shd w:val="clear" w:color="auto" w:fill="auto"/>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20"/>
                <w:szCs w:val="20"/>
                <w:lang w:bidi="ar"/>
              </w:rPr>
            </w:pPr>
          </w:p>
        </w:tc>
        <w:tc>
          <w:tcPr>
            <w:tcW w:w="2067" w:type="dxa"/>
            <w:shd w:val="clear" w:color="auto" w:fill="auto"/>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大王椰</w:t>
            </w:r>
          </w:p>
        </w:tc>
        <w:tc>
          <w:tcPr>
            <w:tcW w:w="4700" w:type="dxa"/>
            <w:shd w:val="clear" w:color="auto" w:fill="auto"/>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杭州大王椰控股集团有限公司</w:t>
            </w:r>
          </w:p>
        </w:tc>
        <w:tc>
          <w:tcPr>
            <w:tcW w:w="1026"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vMerge w:val="continue"/>
            <w:shd w:val="clear" w:color="auto" w:fill="auto"/>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20"/>
                <w:szCs w:val="20"/>
                <w:lang w:bidi="ar"/>
              </w:rPr>
            </w:pPr>
          </w:p>
        </w:tc>
        <w:tc>
          <w:tcPr>
            <w:tcW w:w="1219" w:type="dxa"/>
            <w:vMerge w:val="continue"/>
            <w:shd w:val="clear" w:color="auto" w:fill="auto"/>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20"/>
                <w:szCs w:val="20"/>
                <w:lang w:bidi="ar"/>
              </w:rPr>
            </w:pPr>
          </w:p>
        </w:tc>
        <w:tc>
          <w:tcPr>
            <w:tcW w:w="2067" w:type="dxa"/>
            <w:shd w:val="clear" w:color="auto" w:fill="auto"/>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千年舟</w:t>
            </w:r>
          </w:p>
        </w:tc>
        <w:tc>
          <w:tcPr>
            <w:tcW w:w="4700" w:type="dxa"/>
            <w:shd w:val="clear" w:color="auto" w:fill="auto"/>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千年舟新材科技集团股份有限公司</w:t>
            </w:r>
          </w:p>
        </w:tc>
        <w:tc>
          <w:tcPr>
            <w:tcW w:w="1026"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tc>
      </w:tr>
    </w:tbl>
    <w:p>
      <w:pPr>
        <w:spacing w:line="360" w:lineRule="auto"/>
        <w:rPr>
          <w:rFonts w:hint="eastAsia" w:ascii="华文楷体" w:hAnsi="华文楷体" w:eastAsia="华文楷体" w:cs="华文楷体"/>
          <w:sz w:val="28"/>
          <w:szCs w:val="28"/>
        </w:rPr>
      </w:pPr>
    </w:p>
    <w:p>
      <w:pPr>
        <w:spacing w:line="360" w:lineRule="auto"/>
        <w:ind w:firstLine="560" w:firstLineChars="200"/>
        <w:rPr>
          <w:rFonts w:ascii="华文楷体" w:hAnsi="华文楷体" w:eastAsia="华文楷体" w:cs="华文楷体"/>
          <w:sz w:val="28"/>
          <w:szCs w:val="28"/>
        </w:rPr>
      </w:pPr>
      <w:r>
        <w:rPr>
          <w:rFonts w:hint="eastAsia" w:ascii="华文楷体" w:hAnsi="华文楷体" w:eastAsia="华文楷体" w:cs="华文楷体"/>
          <w:sz w:val="28"/>
          <w:szCs w:val="28"/>
        </w:rPr>
        <w:t>2、主要材料技术标准和质量要求如下：</w:t>
      </w:r>
    </w:p>
    <w:p>
      <w:pPr>
        <w:spacing w:line="360" w:lineRule="auto"/>
        <w:ind w:firstLine="560" w:firstLineChars="200"/>
        <w:rPr>
          <w:rFonts w:ascii="华文楷体" w:hAnsi="华文楷体" w:eastAsia="华文楷体" w:cs="华文楷体"/>
          <w:sz w:val="28"/>
          <w:szCs w:val="28"/>
        </w:rPr>
      </w:pPr>
      <w:r>
        <w:rPr>
          <w:rFonts w:hint="eastAsia" w:ascii="华文楷体" w:hAnsi="华文楷体" w:eastAsia="华文楷体" w:cs="华文楷体"/>
          <w:sz w:val="28"/>
          <w:szCs w:val="28"/>
        </w:rPr>
        <w:t>本技术条件是最低限度的技术要求，并未对一切技术细节作出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pPr>
        <w:numPr>
          <w:ilvl w:val="0"/>
          <w:numId w:val="2"/>
        </w:numPr>
        <w:spacing w:line="360" w:lineRule="auto"/>
        <w:ind w:firstLine="560" w:firstLineChars="200"/>
        <w:rPr>
          <w:rFonts w:ascii="华文楷体" w:hAnsi="华文楷体" w:eastAsia="华文楷体" w:cs="华文楷体"/>
          <w:color w:val="FF0000"/>
          <w:sz w:val="28"/>
          <w:szCs w:val="28"/>
        </w:rPr>
      </w:pPr>
      <w:r>
        <w:rPr>
          <w:rFonts w:hint="eastAsia" w:ascii="华文楷体" w:hAnsi="华文楷体" w:eastAsia="华文楷体" w:cs="华文楷体"/>
          <w:sz w:val="28"/>
          <w:szCs w:val="28"/>
        </w:rPr>
        <w:t>招标人自行采购的主要材料设备</w:t>
      </w:r>
      <w:r>
        <w:rPr>
          <w:rFonts w:hint="eastAsia" w:ascii="华文楷体" w:hAnsi="华文楷体" w:eastAsia="华文楷体" w:cs="华文楷体"/>
          <w:color w:val="000000" w:themeColor="text1"/>
          <w:sz w:val="28"/>
          <w:szCs w:val="28"/>
          <w14:textFill>
            <w14:solidFill>
              <w14:schemeClr w14:val="tx1"/>
            </w14:solidFill>
          </w14:textFill>
        </w:rPr>
        <w:t>：</w:t>
      </w:r>
      <w:r>
        <w:rPr>
          <w:rFonts w:hint="eastAsia" w:ascii="华文楷体" w:hAnsi="华文楷体" w:eastAsia="华文楷体" w:cs="华文楷体"/>
          <w:sz w:val="28"/>
          <w:szCs w:val="28"/>
        </w:rPr>
        <w:t>无。</w:t>
      </w:r>
    </w:p>
    <w:p>
      <w:pPr>
        <w:spacing w:line="360" w:lineRule="auto"/>
        <w:rPr>
          <w:rFonts w:ascii="华文楷体" w:hAnsi="华文楷体" w:eastAsia="华文楷体" w:cs="华文楷体"/>
          <w:b/>
          <w:bCs/>
          <w:sz w:val="28"/>
          <w:szCs w:val="28"/>
        </w:rPr>
      </w:pPr>
      <w:r>
        <w:rPr>
          <w:rFonts w:hint="eastAsia" w:ascii="华文楷体" w:hAnsi="华文楷体" w:eastAsia="华文楷体" w:cs="华文楷体"/>
          <w:b/>
          <w:bCs/>
          <w:sz w:val="28"/>
          <w:szCs w:val="28"/>
        </w:rPr>
        <w:t>六、其他说明</w:t>
      </w:r>
    </w:p>
    <w:p>
      <w:pPr>
        <w:spacing w:line="360" w:lineRule="auto"/>
        <w:ind w:firstLine="560" w:firstLineChars="200"/>
        <w:rPr>
          <w:rFonts w:ascii="华文楷体" w:hAnsi="华文楷体" w:eastAsia="华文楷体" w:cs="华文楷体"/>
          <w:color w:val="FF0000"/>
          <w:sz w:val="28"/>
          <w:szCs w:val="28"/>
        </w:rPr>
      </w:pPr>
      <w:r>
        <w:rPr>
          <w:rFonts w:hint="eastAsia" w:ascii="华文楷体" w:hAnsi="华文楷体" w:eastAsia="华文楷体" w:cs="华文楷体"/>
          <w:sz w:val="28"/>
          <w:szCs w:val="28"/>
        </w:rPr>
        <w:t>1、投标人应在认真理解和熟悉招标文件，经现场踏勘后，综合考虑清单中各分部分项工程包括管理费、利润、风险费、规费、税金等全部费用清单报价，无论清单特征中是否描述，投标人综合单价均应包含完成本清单项目所有工作内容的费用。</w:t>
      </w:r>
    </w:p>
    <w:p>
      <w:pPr>
        <w:spacing w:line="360" w:lineRule="auto"/>
        <w:ind w:firstLine="560" w:firstLineChars="200"/>
        <w:rPr>
          <w:rFonts w:ascii="华文楷体" w:hAnsi="华文楷体" w:eastAsia="华文楷体" w:cs="华文楷体"/>
          <w:sz w:val="28"/>
          <w:szCs w:val="28"/>
        </w:rPr>
      </w:pPr>
      <w:r>
        <w:rPr>
          <w:rFonts w:hint="eastAsia" w:ascii="华文楷体" w:hAnsi="华文楷体" w:eastAsia="华文楷体" w:cs="华文楷体"/>
          <w:sz w:val="28"/>
          <w:szCs w:val="28"/>
        </w:rPr>
        <w:t>2、各投标人在进行综合报价时必须结合招标文件中的相关条款及清单描述进行报价，清单子目中未能对各节点进行完全性描述的必须结合实际情况详细节点进行报价，否则视为已计入相应项目综合单价内，中标后将不调整综合单价。若招标文件中相关条款及清单描述有冲突的，投标人应在“澄清答疑”环节中向招标人提出，招标人将在“澄清答疑”环节中答复；投标人未在“澄清答疑”环节提出的，则最终解释权归属于招标人。</w:t>
      </w:r>
    </w:p>
    <w:sectPr>
      <w:pgSz w:w="11906" w:h="16838"/>
      <w:pgMar w:top="1440" w:right="1286" w:bottom="1440" w:left="13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Cambria">
    <w:panose1 w:val="02040503050406030204"/>
    <w:charset w:val="00"/>
    <w:family w:val="roman"/>
    <w:pitch w:val="default"/>
    <w:sig w:usb0="E00006FF" w:usb1="420024FF" w:usb2="02000000" w:usb3="00000000" w:csb0="2000019F" w:csb1="00000000"/>
  </w:font>
  <w:font w:name="新宋体">
    <w:panose1 w:val="02010609030101010101"/>
    <w:charset w:val="86"/>
    <w:family w:val="modern"/>
    <w:pitch w:val="default"/>
    <w:sig w:usb0="00000283" w:usb1="288F0000" w:usb2="0000000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386A48"/>
    <w:multiLevelType w:val="singleLevel"/>
    <w:tmpl w:val="C7386A48"/>
    <w:lvl w:ilvl="0" w:tentative="0">
      <w:start w:val="1"/>
      <w:numFmt w:val="chineseCounting"/>
      <w:suff w:val="nothing"/>
      <w:lvlText w:val="%1、"/>
      <w:lvlJc w:val="left"/>
      <w:rPr>
        <w:rFonts w:hint="eastAsia"/>
      </w:rPr>
    </w:lvl>
  </w:abstractNum>
  <w:abstractNum w:abstractNumId="1">
    <w:nsid w:val="2AEB87CD"/>
    <w:multiLevelType w:val="singleLevel"/>
    <w:tmpl w:val="2AEB87CD"/>
    <w:lvl w:ilvl="0" w:tentative="0">
      <w:start w:val="2"/>
      <w:numFmt w:val="chineseCounting"/>
      <w:suff w:val="nothing"/>
      <w:lvlText w:val="（%1）"/>
      <w:lvlJc w:val="left"/>
      <w:rPr>
        <w:rFonts w:hint="eastAsia"/>
        <w:color w:val="auto"/>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1NzAxNmNlNGRhOGRkYTc3ZjM4OWZhYjZhMzIzMzIifQ=="/>
  </w:docVars>
  <w:rsids>
    <w:rsidRoot w:val="00E80598"/>
    <w:rsid w:val="00003B10"/>
    <w:rsid w:val="00070CA5"/>
    <w:rsid w:val="0008481C"/>
    <w:rsid w:val="000878B4"/>
    <w:rsid w:val="00094F0E"/>
    <w:rsid w:val="000C5F5E"/>
    <w:rsid w:val="00130701"/>
    <w:rsid w:val="001D3A5E"/>
    <w:rsid w:val="001F5DF7"/>
    <w:rsid w:val="00204723"/>
    <w:rsid w:val="00224361"/>
    <w:rsid w:val="00350785"/>
    <w:rsid w:val="003C551D"/>
    <w:rsid w:val="003D4DFA"/>
    <w:rsid w:val="0041308F"/>
    <w:rsid w:val="00425A5D"/>
    <w:rsid w:val="00457557"/>
    <w:rsid w:val="00462E4D"/>
    <w:rsid w:val="004A69EC"/>
    <w:rsid w:val="004C3E75"/>
    <w:rsid w:val="004E1038"/>
    <w:rsid w:val="005453BC"/>
    <w:rsid w:val="005733F8"/>
    <w:rsid w:val="00587E4B"/>
    <w:rsid w:val="005C7A6B"/>
    <w:rsid w:val="005E3FDB"/>
    <w:rsid w:val="006035F5"/>
    <w:rsid w:val="006252DA"/>
    <w:rsid w:val="006A6281"/>
    <w:rsid w:val="006D6139"/>
    <w:rsid w:val="006E0A43"/>
    <w:rsid w:val="006F1DF0"/>
    <w:rsid w:val="00716093"/>
    <w:rsid w:val="00770FE5"/>
    <w:rsid w:val="00777DEA"/>
    <w:rsid w:val="00784A79"/>
    <w:rsid w:val="00792C2E"/>
    <w:rsid w:val="007E7818"/>
    <w:rsid w:val="007F7C1D"/>
    <w:rsid w:val="00847CE5"/>
    <w:rsid w:val="00850ECA"/>
    <w:rsid w:val="00855A30"/>
    <w:rsid w:val="008964D1"/>
    <w:rsid w:val="009220B0"/>
    <w:rsid w:val="009C2E62"/>
    <w:rsid w:val="009F7256"/>
    <w:rsid w:val="00A36EEF"/>
    <w:rsid w:val="00A63FC9"/>
    <w:rsid w:val="00AB037F"/>
    <w:rsid w:val="00AB5606"/>
    <w:rsid w:val="00AC1EED"/>
    <w:rsid w:val="00AF6A71"/>
    <w:rsid w:val="00B276BE"/>
    <w:rsid w:val="00B276F7"/>
    <w:rsid w:val="00B45773"/>
    <w:rsid w:val="00B46074"/>
    <w:rsid w:val="00C24412"/>
    <w:rsid w:val="00C30855"/>
    <w:rsid w:val="00C34BCE"/>
    <w:rsid w:val="00C36851"/>
    <w:rsid w:val="00C9616D"/>
    <w:rsid w:val="00CA1596"/>
    <w:rsid w:val="00CB729C"/>
    <w:rsid w:val="00CF11B3"/>
    <w:rsid w:val="00D53389"/>
    <w:rsid w:val="00E03455"/>
    <w:rsid w:val="00E80598"/>
    <w:rsid w:val="00E924B2"/>
    <w:rsid w:val="00EC599D"/>
    <w:rsid w:val="00ED2F94"/>
    <w:rsid w:val="00EE3AC7"/>
    <w:rsid w:val="00F106A9"/>
    <w:rsid w:val="00F35A42"/>
    <w:rsid w:val="00F637EC"/>
    <w:rsid w:val="00F86DE8"/>
    <w:rsid w:val="00FB6452"/>
    <w:rsid w:val="00FD2FBA"/>
    <w:rsid w:val="026423BC"/>
    <w:rsid w:val="05637CE9"/>
    <w:rsid w:val="067B4082"/>
    <w:rsid w:val="0840065C"/>
    <w:rsid w:val="0AA00FFF"/>
    <w:rsid w:val="0CC139CA"/>
    <w:rsid w:val="0D071482"/>
    <w:rsid w:val="0E475701"/>
    <w:rsid w:val="0E7618A5"/>
    <w:rsid w:val="0E8C230D"/>
    <w:rsid w:val="0F424FA5"/>
    <w:rsid w:val="10291D80"/>
    <w:rsid w:val="12A83E03"/>
    <w:rsid w:val="13577509"/>
    <w:rsid w:val="13D97736"/>
    <w:rsid w:val="15803988"/>
    <w:rsid w:val="15AE466B"/>
    <w:rsid w:val="16CB38CE"/>
    <w:rsid w:val="16CC55E9"/>
    <w:rsid w:val="17CA0378"/>
    <w:rsid w:val="17E83B2A"/>
    <w:rsid w:val="1837402C"/>
    <w:rsid w:val="196827CF"/>
    <w:rsid w:val="1F6E3E30"/>
    <w:rsid w:val="21471BCB"/>
    <w:rsid w:val="21533141"/>
    <w:rsid w:val="22715C4D"/>
    <w:rsid w:val="22D80382"/>
    <w:rsid w:val="22F333EF"/>
    <w:rsid w:val="23656FC3"/>
    <w:rsid w:val="247875FE"/>
    <w:rsid w:val="24AC52B0"/>
    <w:rsid w:val="255F78C7"/>
    <w:rsid w:val="25F04FD6"/>
    <w:rsid w:val="271E423C"/>
    <w:rsid w:val="2AD07367"/>
    <w:rsid w:val="2BD22118"/>
    <w:rsid w:val="2E975217"/>
    <w:rsid w:val="2F204FF5"/>
    <w:rsid w:val="2F610132"/>
    <w:rsid w:val="323F78FA"/>
    <w:rsid w:val="32CC7242"/>
    <w:rsid w:val="33F322A9"/>
    <w:rsid w:val="342045EA"/>
    <w:rsid w:val="36D80B92"/>
    <w:rsid w:val="38DC5E86"/>
    <w:rsid w:val="398B73E2"/>
    <w:rsid w:val="39BA7CC0"/>
    <w:rsid w:val="3B1D4A86"/>
    <w:rsid w:val="3F8255AA"/>
    <w:rsid w:val="40660CAA"/>
    <w:rsid w:val="40B24332"/>
    <w:rsid w:val="414738E4"/>
    <w:rsid w:val="432A3E3A"/>
    <w:rsid w:val="443167FE"/>
    <w:rsid w:val="455D3D20"/>
    <w:rsid w:val="45A03D5F"/>
    <w:rsid w:val="46E65562"/>
    <w:rsid w:val="475D3B01"/>
    <w:rsid w:val="49B36D66"/>
    <w:rsid w:val="4A3939CF"/>
    <w:rsid w:val="4A60261A"/>
    <w:rsid w:val="4B5A580A"/>
    <w:rsid w:val="4CD23CFB"/>
    <w:rsid w:val="4DF950F2"/>
    <w:rsid w:val="4E5C5B33"/>
    <w:rsid w:val="4E86208F"/>
    <w:rsid w:val="4FC55C1D"/>
    <w:rsid w:val="514F6512"/>
    <w:rsid w:val="52371F69"/>
    <w:rsid w:val="54341495"/>
    <w:rsid w:val="54FF3FE7"/>
    <w:rsid w:val="563F1955"/>
    <w:rsid w:val="5785783C"/>
    <w:rsid w:val="584A1BD1"/>
    <w:rsid w:val="5B775DA6"/>
    <w:rsid w:val="5BCE5477"/>
    <w:rsid w:val="5E880ED9"/>
    <w:rsid w:val="5FD830C4"/>
    <w:rsid w:val="607139DB"/>
    <w:rsid w:val="6138082C"/>
    <w:rsid w:val="61DC6F7F"/>
    <w:rsid w:val="63AA2810"/>
    <w:rsid w:val="63B130AC"/>
    <w:rsid w:val="6417362C"/>
    <w:rsid w:val="64BC6497"/>
    <w:rsid w:val="64F4340D"/>
    <w:rsid w:val="663E2ECC"/>
    <w:rsid w:val="6ABA2C10"/>
    <w:rsid w:val="6B6E1032"/>
    <w:rsid w:val="6B712C83"/>
    <w:rsid w:val="6C766FB1"/>
    <w:rsid w:val="6DA72690"/>
    <w:rsid w:val="6DAE46FA"/>
    <w:rsid w:val="6FA554C1"/>
    <w:rsid w:val="706A75F7"/>
    <w:rsid w:val="7281066B"/>
    <w:rsid w:val="72CC1AE5"/>
    <w:rsid w:val="73B70FED"/>
    <w:rsid w:val="79416F7E"/>
    <w:rsid w:val="7BD91F35"/>
    <w:rsid w:val="7CE77619"/>
    <w:rsid w:val="7DA24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iPriority="99" w:name="Normal Indent"/>
    <w:lsdException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qFormat="1" w:unhideWhenUsed="0" w:uiPriority="0" w:semiHidden="0"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0"/>
    <w:qFormat/>
    <w:uiPriority w:val="99"/>
    <w:pPr>
      <w:keepNext/>
      <w:keepLines/>
      <w:snapToGrid w:val="0"/>
      <w:spacing w:before="60" w:after="60"/>
      <w:ind w:right="-11"/>
      <w:jc w:val="center"/>
      <w:outlineLvl w:val="0"/>
    </w:pPr>
    <w:rPr>
      <w:rFonts w:ascii="Times New Roman" w:hAnsi="Times New Roman" w:eastAsia="宋体" w:cs="Times New Roman"/>
      <w:b/>
      <w:kern w:val="44"/>
      <w:sz w:val="36"/>
      <w:szCs w:val="36"/>
    </w:rPr>
  </w:style>
  <w:style w:type="paragraph" w:styleId="3">
    <w:name w:val="heading 2"/>
    <w:basedOn w:val="1"/>
    <w:next w:val="4"/>
    <w:link w:val="31"/>
    <w:qFormat/>
    <w:uiPriority w:val="9"/>
    <w:pPr>
      <w:keepNext/>
      <w:keepLines/>
      <w:adjustRightInd w:val="0"/>
      <w:snapToGrid w:val="0"/>
      <w:spacing w:before="240" w:after="240"/>
      <w:ind w:right="-11"/>
      <w:jc w:val="center"/>
      <w:outlineLvl w:val="1"/>
    </w:pPr>
    <w:rPr>
      <w:rFonts w:ascii="Arial" w:hAnsi="Arial" w:eastAsia="宋体" w:cs="Times New Roman"/>
      <w:b/>
      <w:sz w:val="32"/>
      <w:szCs w:val="20"/>
    </w:rPr>
  </w:style>
  <w:style w:type="paragraph" w:styleId="5">
    <w:name w:val="heading 3"/>
    <w:basedOn w:val="1"/>
    <w:next w:val="4"/>
    <w:link w:val="32"/>
    <w:qFormat/>
    <w:uiPriority w:val="9"/>
    <w:pPr>
      <w:keepNext/>
      <w:keepLines/>
      <w:adjustRightInd w:val="0"/>
      <w:snapToGrid w:val="0"/>
      <w:spacing w:before="240" w:after="240"/>
      <w:ind w:right="-11" w:firstLine="200" w:firstLineChars="200"/>
      <w:outlineLvl w:val="2"/>
    </w:pPr>
    <w:rPr>
      <w:rFonts w:ascii="宋体"/>
      <w:b/>
      <w:sz w:val="24"/>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4">
    <w:name w:val="Normal Indent"/>
    <w:basedOn w:val="1"/>
    <w:semiHidden/>
    <w:unhideWhenUsed/>
    <w:qFormat/>
    <w:uiPriority w:val="99"/>
    <w:pPr>
      <w:ind w:right="-11" w:firstLine="420" w:firstLineChars="200"/>
    </w:pPr>
  </w:style>
  <w:style w:type="paragraph" w:styleId="6">
    <w:name w:val="toc 7"/>
    <w:basedOn w:val="1"/>
    <w:next w:val="1"/>
    <w:unhideWhenUsed/>
    <w:qFormat/>
    <w:uiPriority w:val="39"/>
    <w:pPr>
      <w:ind w:left="2520" w:leftChars="1200"/>
    </w:pPr>
  </w:style>
  <w:style w:type="paragraph" w:styleId="7">
    <w:name w:val="annotation text"/>
    <w:basedOn w:val="1"/>
    <w:link w:val="48"/>
    <w:qFormat/>
    <w:uiPriority w:val="0"/>
    <w:pPr>
      <w:jc w:val="left"/>
    </w:pPr>
    <w:rPr>
      <w:rFonts w:ascii="Times New Roman" w:hAnsi="Times New Roman" w:eastAsia="宋体" w:cs="Times New Roman"/>
      <w:szCs w:val="24"/>
    </w:rPr>
  </w:style>
  <w:style w:type="paragraph" w:styleId="8">
    <w:name w:val="Body Text 3"/>
    <w:basedOn w:val="1"/>
    <w:link w:val="40"/>
    <w:qFormat/>
    <w:uiPriority w:val="0"/>
    <w:rPr>
      <w:rFonts w:ascii="宋体" w:eastAsia="宋体"/>
      <w:sz w:val="24"/>
    </w:rPr>
  </w:style>
  <w:style w:type="paragraph" w:styleId="9">
    <w:name w:val="Body Text"/>
    <w:basedOn w:val="1"/>
    <w:link w:val="44"/>
    <w:qFormat/>
    <w:uiPriority w:val="0"/>
    <w:pPr>
      <w:spacing w:after="120" w:line="360" w:lineRule="auto"/>
    </w:pPr>
    <w:rPr>
      <w:rFonts w:ascii="Times New Roman" w:hAnsi="Times New Roman" w:eastAsia="宋体" w:cs="Times New Roman"/>
      <w:szCs w:val="20"/>
    </w:rPr>
  </w:style>
  <w:style w:type="paragraph" w:styleId="10">
    <w:name w:val="toc 5"/>
    <w:basedOn w:val="1"/>
    <w:next w:val="1"/>
    <w:unhideWhenUsed/>
    <w:qFormat/>
    <w:uiPriority w:val="39"/>
    <w:pPr>
      <w:ind w:left="1680" w:leftChars="800"/>
    </w:pPr>
  </w:style>
  <w:style w:type="paragraph" w:styleId="11">
    <w:name w:val="toc 3"/>
    <w:basedOn w:val="1"/>
    <w:next w:val="1"/>
    <w:unhideWhenUsed/>
    <w:qFormat/>
    <w:uiPriority w:val="39"/>
    <w:pPr>
      <w:ind w:left="840" w:leftChars="400" w:right="-11"/>
    </w:pPr>
  </w:style>
  <w:style w:type="paragraph" w:styleId="12">
    <w:name w:val="toc 8"/>
    <w:basedOn w:val="1"/>
    <w:next w:val="1"/>
    <w:unhideWhenUsed/>
    <w:qFormat/>
    <w:uiPriority w:val="39"/>
    <w:pPr>
      <w:ind w:left="2940" w:leftChars="1400"/>
    </w:pPr>
  </w:style>
  <w:style w:type="paragraph" w:styleId="13">
    <w:name w:val="Balloon Text"/>
    <w:basedOn w:val="1"/>
    <w:link w:val="47"/>
    <w:qFormat/>
    <w:uiPriority w:val="99"/>
    <w:rPr>
      <w:rFonts w:ascii="Times New Roman" w:hAnsi="Times New Roman" w:eastAsia="宋体" w:cs="Times New Roman"/>
      <w:sz w:val="18"/>
      <w:szCs w:val="18"/>
    </w:rPr>
  </w:style>
  <w:style w:type="paragraph" w:styleId="14">
    <w:name w:val="footer"/>
    <w:basedOn w:val="1"/>
    <w:link w:val="45"/>
    <w:qFormat/>
    <w:uiPriority w:val="99"/>
    <w:pPr>
      <w:widowControl/>
      <w:tabs>
        <w:tab w:val="center" w:pos="4153"/>
        <w:tab w:val="right" w:pos="8306"/>
      </w:tabs>
      <w:snapToGrid w:val="0"/>
      <w:jc w:val="left"/>
    </w:pPr>
    <w:rPr>
      <w:rFonts w:ascii="Times New Roman" w:hAnsi="Times New Roman" w:eastAsia="宋体" w:cs="Times New Roman"/>
      <w:kern w:val="0"/>
      <w:sz w:val="18"/>
      <w:szCs w:val="18"/>
    </w:rPr>
  </w:style>
  <w:style w:type="paragraph" w:styleId="15">
    <w:name w:val="header"/>
    <w:basedOn w:val="1"/>
    <w:link w:val="46"/>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16">
    <w:name w:val="toc 1"/>
    <w:basedOn w:val="1"/>
    <w:next w:val="1"/>
    <w:qFormat/>
    <w:uiPriority w:val="39"/>
    <w:pPr>
      <w:tabs>
        <w:tab w:val="right" w:leader="dot" w:pos="9030"/>
      </w:tabs>
      <w:spacing w:line="560" w:lineRule="exact"/>
      <w:ind w:right="-11"/>
      <w:jc w:val="left"/>
    </w:pPr>
    <w:rPr>
      <w:rFonts w:ascii="宋体" w:hAnsi="宋体" w:eastAsia="宋体" w:cs="宋体"/>
      <w:b/>
      <w:bCs/>
      <w:sz w:val="30"/>
      <w:szCs w:val="30"/>
    </w:rPr>
  </w:style>
  <w:style w:type="paragraph" w:styleId="17">
    <w:name w:val="toc 4"/>
    <w:basedOn w:val="1"/>
    <w:next w:val="1"/>
    <w:unhideWhenUsed/>
    <w:qFormat/>
    <w:uiPriority w:val="39"/>
    <w:pPr>
      <w:ind w:left="1260" w:leftChars="600"/>
    </w:pPr>
  </w:style>
  <w:style w:type="paragraph" w:styleId="18">
    <w:name w:val="toc 6"/>
    <w:basedOn w:val="1"/>
    <w:next w:val="1"/>
    <w:unhideWhenUsed/>
    <w:qFormat/>
    <w:uiPriority w:val="39"/>
    <w:pPr>
      <w:ind w:left="2100" w:leftChars="1000"/>
    </w:pPr>
  </w:style>
  <w:style w:type="paragraph" w:styleId="19">
    <w:name w:val="toc 2"/>
    <w:basedOn w:val="1"/>
    <w:next w:val="1"/>
    <w:unhideWhenUsed/>
    <w:qFormat/>
    <w:uiPriority w:val="39"/>
    <w:pPr>
      <w:ind w:left="420" w:leftChars="200" w:right="-11"/>
    </w:pPr>
  </w:style>
  <w:style w:type="paragraph" w:styleId="20">
    <w:name w:val="toc 9"/>
    <w:basedOn w:val="1"/>
    <w:next w:val="1"/>
    <w:unhideWhenUsed/>
    <w:qFormat/>
    <w:uiPriority w:val="39"/>
    <w:pPr>
      <w:ind w:left="3360" w:leftChars="1600"/>
    </w:pPr>
  </w:style>
  <w:style w:type="paragraph" w:styleId="21">
    <w:name w:val="HTML Preformatted"/>
    <w:basedOn w:val="1"/>
    <w:link w:val="52"/>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hAnsi="Arial" w:eastAsia="宋体" w:cs="Times New Roman"/>
      <w:szCs w:val="24"/>
    </w:rPr>
  </w:style>
  <w:style w:type="paragraph" w:styleId="22">
    <w:name w:val="Normal (Web)"/>
    <w:basedOn w:val="1"/>
    <w:qFormat/>
    <w:uiPriority w:val="0"/>
    <w:pPr>
      <w:spacing w:before="100" w:beforeAutospacing="1" w:after="100" w:afterAutospacing="1"/>
      <w:jc w:val="left"/>
    </w:pPr>
    <w:rPr>
      <w:rFonts w:cs="Times New Roman"/>
      <w:kern w:val="0"/>
      <w:sz w:val="24"/>
    </w:rPr>
  </w:style>
  <w:style w:type="paragraph" w:styleId="23">
    <w:name w:val="Title"/>
    <w:basedOn w:val="1"/>
    <w:next w:val="1"/>
    <w:link w:val="33"/>
    <w:qFormat/>
    <w:uiPriority w:val="10"/>
    <w:pPr>
      <w:spacing w:before="240" w:after="60"/>
      <w:ind w:right="-11"/>
      <w:jc w:val="center"/>
      <w:outlineLvl w:val="0"/>
    </w:pPr>
    <w:rPr>
      <w:rFonts w:asciiTheme="majorHAnsi" w:hAnsiTheme="majorHAnsi" w:cstheme="majorBidi"/>
      <w:b/>
      <w:bCs/>
      <w:sz w:val="44"/>
      <w:szCs w:val="32"/>
    </w:rPr>
  </w:style>
  <w:style w:type="paragraph" w:styleId="24">
    <w:name w:val="annotation subject"/>
    <w:basedOn w:val="7"/>
    <w:next w:val="7"/>
    <w:link w:val="49"/>
    <w:qFormat/>
    <w:uiPriority w:val="0"/>
    <w:rPr>
      <w:b/>
      <w:bCs/>
    </w:rPr>
  </w:style>
  <w:style w:type="table" w:styleId="26">
    <w:name w:val="Table Grid"/>
    <w:basedOn w:val="2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Hyperlink"/>
    <w:unhideWhenUsed/>
    <w:qFormat/>
    <w:uiPriority w:val="99"/>
    <w:rPr>
      <w:color w:val="0000FF"/>
      <w:u w:val="single"/>
    </w:rPr>
  </w:style>
  <w:style w:type="character" w:styleId="29">
    <w:name w:val="annotation reference"/>
    <w:basedOn w:val="27"/>
    <w:qFormat/>
    <w:uiPriority w:val="0"/>
    <w:rPr>
      <w:sz w:val="21"/>
      <w:szCs w:val="21"/>
    </w:rPr>
  </w:style>
  <w:style w:type="character" w:customStyle="1" w:styleId="30">
    <w:name w:val="标题 1 字符"/>
    <w:basedOn w:val="27"/>
    <w:link w:val="2"/>
    <w:qFormat/>
    <w:uiPriority w:val="99"/>
    <w:rPr>
      <w:rFonts w:ascii="Times New Roman" w:hAnsi="Times New Roman" w:eastAsia="宋体" w:cs="Times New Roman"/>
      <w:b/>
      <w:kern w:val="44"/>
      <w:sz w:val="36"/>
      <w:szCs w:val="36"/>
    </w:rPr>
  </w:style>
  <w:style w:type="character" w:customStyle="1" w:styleId="31">
    <w:name w:val="标题 2 字符1"/>
    <w:basedOn w:val="27"/>
    <w:link w:val="3"/>
    <w:qFormat/>
    <w:uiPriority w:val="9"/>
    <w:rPr>
      <w:rFonts w:ascii="Arial" w:hAnsi="Arial" w:eastAsia="宋体" w:cs="Times New Roman"/>
      <w:b/>
      <w:sz w:val="32"/>
      <w:szCs w:val="20"/>
    </w:rPr>
  </w:style>
  <w:style w:type="character" w:customStyle="1" w:styleId="32">
    <w:name w:val="标题 3 字符"/>
    <w:basedOn w:val="27"/>
    <w:link w:val="5"/>
    <w:qFormat/>
    <w:uiPriority w:val="9"/>
    <w:rPr>
      <w:rFonts w:ascii="宋体"/>
      <w:b/>
      <w:sz w:val="24"/>
    </w:rPr>
  </w:style>
  <w:style w:type="character" w:customStyle="1" w:styleId="33">
    <w:name w:val="标题 字符1"/>
    <w:basedOn w:val="27"/>
    <w:link w:val="23"/>
    <w:qFormat/>
    <w:uiPriority w:val="10"/>
    <w:rPr>
      <w:rFonts w:asciiTheme="majorHAnsi" w:hAnsiTheme="majorHAnsi" w:cstheme="majorBidi"/>
      <w:b/>
      <w:bCs/>
      <w:sz w:val="44"/>
      <w:szCs w:val="32"/>
    </w:rPr>
  </w:style>
  <w:style w:type="paragraph" w:styleId="34">
    <w:name w:val="No Spacing"/>
    <w:qFormat/>
    <w:uiPriority w:val="1"/>
    <w:pPr>
      <w:widowControl w:val="0"/>
      <w:jc w:val="both"/>
    </w:pPr>
    <w:rPr>
      <w:rFonts w:ascii="Times New Roman" w:hAnsi="Times New Roman" w:eastAsia="宋体" w:cs="Times New Roman"/>
      <w:kern w:val="2"/>
      <w:sz w:val="21"/>
      <w:lang w:val="en-US" w:eastAsia="zh-CN" w:bidi="ar-SA"/>
    </w:rPr>
  </w:style>
  <w:style w:type="character" w:customStyle="1" w:styleId="35">
    <w:name w:val="标题 2 字符"/>
    <w:qFormat/>
    <w:uiPriority w:val="9"/>
    <w:rPr>
      <w:rFonts w:ascii="新宋体" w:hAnsi="新宋体" w:eastAsia="新宋体"/>
      <w:b/>
      <w:bCs/>
      <w:kern w:val="2"/>
      <w:sz w:val="32"/>
      <w:szCs w:val="32"/>
      <w:lang w:val="zh-CN"/>
    </w:rPr>
  </w:style>
  <w:style w:type="paragraph" w:customStyle="1" w:styleId="36">
    <w:name w:val="样式 标题 3 + (中文) 黑体 小四 非加粗 段前: 7.8 磅 段后: 0 磅 行距: 固定值 20 磅"/>
    <w:basedOn w:val="5"/>
    <w:qFormat/>
    <w:uiPriority w:val="0"/>
    <w:pPr>
      <w:adjustRightInd/>
      <w:snapToGrid/>
      <w:spacing w:before="0" w:after="0" w:line="400" w:lineRule="exact"/>
      <w:ind w:right="0" w:firstLine="0" w:firstLineChars="0"/>
    </w:pPr>
    <w:rPr>
      <w:rFonts w:ascii="Times New Roman" w:hAnsi="Times New Roman" w:eastAsia="黑体" w:cs="Times New Roman"/>
      <w:b w:val="0"/>
      <w:szCs w:val="20"/>
    </w:rPr>
  </w:style>
  <w:style w:type="character" w:customStyle="1" w:styleId="37">
    <w:name w:val="标题 字符"/>
    <w:qFormat/>
    <w:uiPriority w:val="10"/>
    <w:rPr>
      <w:rFonts w:ascii="Cambria" w:hAnsi="Cambria" w:cs="Times New Roman"/>
      <w:b/>
      <w:bCs/>
      <w:kern w:val="2"/>
      <w:sz w:val="32"/>
      <w:szCs w:val="32"/>
    </w:rPr>
  </w:style>
  <w:style w:type="paragraph" w:styleId="38">
    <w:name w:val="List Paragraph"/>
    <w:basedOn w:val="1"/>
    <w:qFormat/>
    <w:uiPriority w:val="0"/>
    <w:pPr>
      <w:ind w:firstLine="420" w:firstLineChars="200"/>
    </w:pPr>
    <w:rPr>
      <w:rFonts w:ascii="Calibri" w:hAnsi="Calibri" w:eastAsia="宋体" w:cs="Times New Roman"/>
    </w:rPr>
  </w:style>
  <w:style w:type="paragraph" w:customStyle="1" w:styleId="39">
    <w:name w:val="列出段落1"/>
    <w:basedOn w:val="1"/>
    <w:qFormat/>
    <w:uiPriority w:val="0"/>
    <w:pPr>
      <w:ind w:firstLine="420" w:firstLineChars="200"/>
    </w:pPr>
    <w:rPr>
      <w:rFonts w:ascii="Calibri" w:hAnsi="Calibri" w:eastAsia="宋体" w:cs="Times New Roman"/>
      <w:szCs w:val="21"/>
    </w:rPr>
  </w:style>
  <w:style w:type="character" w:customStyle="1" w:styleId="40">
    <w:name w:val="正文文本 3 字符"/>
    <w:link w:val="8"/>
    <w:qFormat/>
    <w:uiPriority w:val="0"/>
    <w:rPr>
      <w:rFonts w:ascii="宋体" w:eastAsia="宋体"/>
      <w:sz w:val="24"/>
    </w:rPr>
  </w:style>
  <w:style w:type="character" w:customStyle="1" w:styleId="41">
    <w:name w:val="正文文本 3 Char1"/>
    <w:basedOn w:val="27"/>
    <w:semiHidden/>
    <w:qFormat/>
    <w:uiPriority w:val="99"/>
    <w:rPr>
      <w:sz w:val="16"/>
      <w:szCs w:val="16"/>
    </w:rPr>
  </w:style>
  <w:style w:type="paragraph" w:customStyle="1" w:styleId="42">
    <w:name w:val="样式 标题 2 + Times New Roman 四号 非加粗 段前: 5 磅 段后: 0 磅 行距: 固定值 20..."/>
    <w:basedOn w:val="3"/>
    <w:qFormat/>
    <w:uiPriority w:val="0"/>
    <w:pPr>
      <w:adjustRightInd/>
      <w:snapToGrid/>
      <w:spacing w:before="100" w:after="0" w:line="400" w:lineRule="exact"/>
      <w:ind w:right="0"/>
      <w:jc w:val="both"/>
    </w:pPr>
    <w:rPr>
      <w:rFonts w:ascii="Times New Roman" w:hAnsi="Times New Roman" w:eastAsia="黑体"/>
      <w:b w:val="0"/>
      <w:sz w:val="28"/>
    </w:rPr>
  </w:style>
  <w:style w:type="paragraph" w:customStyle="1" w:styleId="43">
    <w:name w:val="正文 + 行距: 固定值 20 磅"/>
    <w:basedOn w:val="1"/>
    <w:qFormat/>
    <w:uiPriority w:val="0"/>
    <w:pPr>
      <w:spacing w:line="400" w:lineRule="exact"/>
      <w:ind w:firstLine="716" w:firstLineChars="341"/>
    </w:pPr>
    <w:rPr>
      <w:rFonts w:ascii="Times New Roman" w:hAnsi="Times New Roman" w:eastAsia="宋体" w:cs="Times New Roman"/>
      <w:szCs w:val="20"/>
    </w:rPr>
  </w:style>
  <w:style w:type="character" w:customStyle="1" w:styleId="44">
    <w:name w:val="正文文本 字符"/>
    <w:basedOn w:val="27"/>
    <w:link w:val="9"/>
    <w:qFormat/>
    <w:uiPriority w:val="0"/>
    <w:rPr>
      <w:rFonts w:ascii="Times New Roman" w:hAnsi="Times New Roman" w:eastAsia="宋体" w:cs="Times New Roman"/>
      <w:szCs w:val="20"/>
    </w:rPr>
  </w:style>
  <w:style w:type="character" w:customStyle="1" w:styleId="45">
    <w:name w:val="页脚 字符"/>
    <w:basedOn w:val="27"/>
    <w:link w:val="14"/>
    <w:qFormat/>
    <w:uiPriority w:val="99"/>
    <w:rPr>
      <w:rFonts w:ascii="Times New Roman" w:hAnsi="Times New Roman" w:eastAsia="宋体" w:cs="Times New Roman"/>
      <w:kern w:val="0"/>
      <w:sz w:val="18"/>
      <w:szCs w:val="18"/>
    </w:rPr>
  </w:style>
  <w:style w:type="character" w:customStyle="1" w:styleId="46">
    <w:name w:val="页眉 字符"/>
    <w:basedOn w:val="27"/>
    <w:link w:val="15"/>
    <w:qFormat/>
    <w:uiPriority w:val="99"/>
    <w:rPr>
      <w:rFonts w:ascii="Times New Roman" w:hAnsi="Times New Roman" w:eastAsia="宋体" w:cs="Times New Roman"/>
      <w:sz w:val="18"/>
      <w:szCs w:val="18"/>
    </w:rPr>
  </w:style>
  <w:style w:type="character" w:customStyle="1" w:styleId="47">
    <w:name w:val="批注框文本 字符"/>
    <w:basedOn w:val="27"/>
    <w:link w:val="13"/>
    <w:qFormat/>
    <w:uiPriority w:val="99"/>
    <w:rPr>
      <w:rFonts w:ascii="Times New Roman" w:hAnsi="Times New Roman" w:eastAsia="宋体" w:cs="Times New Roman"/>
      <w:sz w:val="18"/>
      <w:szCs w:val="18"/>
    </w:rPr>
  </w:style>
  <w:style w:type="character" w:customStyle="1" w:styleId="48">
    <w:name w:val="批注文字 字符"/>
    <w:basedOn w:val="27"/>
    <w:link w:val="7"/>
    <w:qFormat/>
    <w:uiPriority w:val="0"/>
    <w:rPr>
      <w:rFonts w:ascii="Times New Roman" w:hAnsi="Times New Roman" w:eastAsia="宋体" w:cs="Times New Roman"/>
      <w:szCs w:val="24"/>
    </w:rPr>
  </w:style>
  <w:style w:type="character" w:customStyle="1" w:styleId="49">
    <w:name w:val="批注主题 字符"/>
    <w:basedOn w:val="48"/>
    <w:link w:val="24"/>
    <w:qFormat/>
    <w:uiPriority w:val="0"/>
    <w:rPr>
      <w:rFonts w:ascii="Times New Roman" w:hAnsi="Times New Roman" w:eastAsia="宋体" w:cs="Times New Roman"/>
      <w:b/>
      <w:bCs/>
      <w:szCs w:val="24"/>
    </w:rPr>
  </w:style>
  <w:style w:type="paragraph" w:customStyle="1" w:styleId="50">
    <w:name w:val="修订1"/>
    <w:hidden/>
    <w:unhideWhenUsed/>
    <w:qFormat/>
    <w:uiPriority w:val="99"/>
    <w:rPr>
      <w:rFonts w:ascii="Times New Roman" w:hAnsi="Times New Roman" w:eastAsia="宋体" w:cs="Times New Roman"/>
      <w:kern w:val="2"/>
      <w:sz w:val="21"/>
      <w:szCs w:val="24"/>
      <w:lang w:val="en-US" w:eastAsia="zh-CN" w:bidi="ar-SA"/>
    </w:rPr>
  </w:style>
  <w:style w:type="paragraph" w:customStyle="1" w:styleId="51">
    <w:name w:val="修订11"/>
    <w:hidden/>
    <w:unhideWhenUsed/>
    <w:qFormat/>
    <w:uiPriority w:val="99"/>
    <w:rPr>
      <w:rFonts w:ascii="Times New Roman" w:hAnsi="Times New Roman" w:eastAsia="宋体" w:cs="Times New Roman"/>
      <w:kern w:val="2"/>
      <w:sz w:val="21"/>
      <w:szCs w:val="24"/>
      <w:lang w:val="en-US" w:eastAsia="zh-CN" w:bidi="ar-SA"/>
    </w:rPr>
  </w:style>
  <w:style w:type="character" w:customStyle="1" w:styleId="52">
    <w:name w:val="HTML 预设格式 字符"/>
    <w:basedOn w:val="27"/>
    <w:link w:val="21"/>
    <w:qFormat/>
    <w:uiPriority w:val="99"/>
    <w:rPr>
      <w:rFonts w:ascii="Arial" w:hAnsi="Arial" w:eastAsia="宋体" w:cs="Times New Roman"/>
      <w:szCs w:val="24"/>
    </w:rPr>
  </w:style>
  <w:style w:type="paragraph" w:customStyle="1" w:styleId="53">
    <w:name w:val="xl65"/>
    <w:basedOn w:val="1"/>
    <w:qFormat/>
    <w:uiPriority w:val="0"/>
    <w:pPr>
      <w:widowControl/>
      <w:spacing w:before="100" w:beforeAutospacing="1" w:after="100" w:afterAutospacing="1"/>
      <w:jc w:val="left"/>
    </w:pPr>
    <w:rPr>
      <w:rFonts w:ascii="宋体" w:hAnsi="宋体" w:eastAsia="宋体" w:cs="宋体"/>
      <w:kern w:val="0"/>
      <w:sz w:val="20"/>
      <w:szCs w:val="20"/>
    </w:rPr>
  </w:style>
  <w:style w:type="paragraph" w:customStyle="1" w:styleId="54">
    <w:name w:val="msonorma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5">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56">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eastAsia="宋体" w:cs="宋体"/>
      <w:kern w:val="0"/>
      <w:sz w:val="20"/>
      <w:szCs w:val="20"/>
    </w:rPr>
  </w:style>
  <w:style w:type="paragraph" w:customStyle="1" w:styleId="57">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58">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59">
    <w:name w:val="font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60">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61">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62">
    <w:name w:val="p15"/>
    <w:basedOn w:val="1"/>
    <w:qFormat/>
    <w:uiPriority w:val="0"/>
    <w:pPr>
      <w:widowControl/>
      <w:ind w:firstLine="420"/>
    </w:pPr>
    <w:rPr>
      <w:rFonts w:ascii="Calibri" w:hAnsi="Calibri" w:eastAsia="宋体" w:cs="宋体"/>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2326</Words>
  <Characters>2359</Characters>
  <Lines>29</Lines>
  <Paragraphs>8</Paragraphs>
  <TotalTime>0</TotalTime>
  <ScaleCrop>false</ScaleCrop>
  <LinksUpToDate>false</LinksUpToDate>
  <CharactersWithSpaces>2361</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2021-05-18T01:21:00Z</dcterms:created>
  <dc:creator>lujinzhi</dc:creator>
  <cp:lastModifiedBy>Mr.R</cp:lastModifiedBy>
  <dcterms:modified xsi:type="dcterms:W3CDTF">2023-04-17T07:14:28Z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FE1C81D6C44F4BB7A33A73D09F36969E</vt:lpwstr>
  </property>
  <property fmtid="{D5CDD505-2E9C-101B-9397-08002B2CF9AE}" pid="4" name="commondata">
    <vt:lpwstr>eyJoZGlkIjoiMDJiNDFhOTIzOGI5MmJmZDU2ZDllMTkxMmYyYTVlNjMifQ==</vt:lpwstr>
  </property>
</Properties>
</file>