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华文楷体" w:hAnsi="华文楷体" w:eastAsia="华文楷体" w:cs="华文楷体"/>
          <w:b/>
          <w:sz w:val="40"/>
          <w:szCs w:val="40"/>
        </w:rPr>
      </w:pPr>
      <w:r>
        <w:rPr>
          <w:rFonts w:hint="eastAsia" w:ascii="华文楷体" w:hAnsi="华文楷体" w:eastAsia="华文楷体" w:cs="华文楷体"/>
          <w:b/>
          <w:sz w:val="40"/>
          <w:szCs w:val="40"/>
        </w:rPr>
        <w:t>清单编制说明</w:t>
      </w:r>
    </w:p>
    <w:p>
      <w:pPr>
        <w:numPr>
          <w:ilvl w:val="0"/>
          <w:numId w:val="1"/>
        </w:numPr>
        <w:spacing w:line="360" w:lineRule="auto"/>
        <w:rPr>
          <w:rFonts w:ascii="华文楷体" w:hAnsi="华文楷体" w:eastAsia="华文楷体" w:cs="华文楷体"/>
          <w:b/>
          <w:bCs/>
          <w:sz w:val="28"/>
          <w:szCs w:val="28"/>
        </w:rPr>
      </w:pPr>
      <w:r>
        <w:rPr>
          <w:rFonts w:hint="eastAsia" w:ascii="华文楷体" w:hAnsi="华文楷体" w:eastAsia="华文楷体" w:cs="华文楷体"/>
          <w:b/>
          <w:bCs/>
          <w:sz w:val="28"/>
          <w:szCs w:val="28"/>
        </w:rPr>
        <w:t>工程概况</w:t>
      </w:r>
    </w:p>
    <w:p>
      <w:pPr>
        <w:autoSpaceDE w:val="0"/>
        <w:autoSpaceDN w:val="0"/>
        <w:adjustRightInd w:val="0"/>
        <w:spacing w:line="360" w:lineRule="auto"/>
        <w:ind w:firstLine="560" w:firstLineChars="200"/>
        <w:jc w:val="left"/>
        <w:rPr>
          <w:rFonts w:ascii="华文楷体" w:hAnsi="华文楷体" w:eastAsia="华文楷体" w:cs="华文楷体"/>
          <w:sz w:val="28"/>
          <w:szCs w:val="28"/>
          <w:highlight w:val="none"/>
        </w:rPr>
      </w:pPr>
      <w:bookmarkStart w:id="0" w:name="_GoBack"/>
      <w:r>
        <w:rPr>
          <w:rFonts w:hint="eastAsia" w:ascii="华文楷体" w:hAnsi="华文楷体" w:eastAsia="华文楷体" w:cs="华文楷体"/>
          <w:sz w:val="28"/>
          <w:szCs w:val="28"/>
          <w:highlight w:val="none"/>
        </w:rPr>
        <w:t>仙林校区公共区域雨棚安装</w:t>
      </w:r>
      <w:bookmarkEnd w:id="0"/>
      <w:r>
        <w:rPr>
          <w:rFonts w:hint="eastAsia" w:ascii="华文楷体" w:hAnsi="华文楷体" w:eastAsia="华文楷体" w:cs="华文楷体"/>
          <w:sz w:val="28"/>
          <w:szCs w:val="28"/>
          <w:highlight w:val="none"/>
        </w:rPr>
        <w:t>，位于南京大学</w:t>
      </w:r>
      <w:r>
        <w:rPr>
          <w:rFonts w:hint="eastAsia" w:ascii="华文楷体" w:hAnsi="华文楷体" w:eastAsia="华文楷体" w:cs="华文楷体"/>
          <w:sz w:val="28"/>
          <w:szCs w:val="28"/>
          <w:highlight w:val="none"/>
          <w:lang w:val="en-US" w:eastAsia="zh-CN"/>
        </w:rPr>
        <w:t>仙林</w:t>
      </w:r>
      <w:r>
        <w:rPr>
          <w:rFonts w:hint="eastAsia" w:ascii="华文楷体" w:hAnsi="华文楷体" w:eastAsia="华文楷体" w:cs="华文楷体"/>
          <w:sz w:val="28"/>
          <w:szCs w:val="28"/>
          <w:highlight w:val="none"/>
        </w:rPr>
        <w:t>校区，项目内容:</w:t>
      </w:r>
      <w:r>
        <w:rPr>
          <w:rFonts w:hint="eastAsia" w:ascii="华文楷体" w:hAnsi="华文楷体" w:eastAsia="华文楷体" w:cs="华文楷体"/>
          <w:sz w:val="28"/>
          <w:szCs w:val="28"/>
          <w:highlight w:val="none"/>
          <w:lang w:val="en-US" w:eastAsia="zh-CN"/>
        </w:rPr>
        <w:t>仙林校区公共区域雨棚安装</w:t>
      </w:r>
      <w:r>
        <w:rPr>
          <w:rFonts w:hint="eastAsia" w:ascii="华文楷体" w:hAnsi="华文楷体" w:eastAsia="华文楷体" w:cs="华文楷体"/>
          <w:sz w:val="28"/>
          <w:szCs w:val="28"/>
          <w:highlight w:val="none"/>
        </w:rPr>
        <w:t>。</w:t>
      </w:r>
    </w:p>
    <w:p>
      <w:pPr>
        <w:pStyle w:val="22"/>
        <w:widowControl/>
        <w:spacing w:before="0" w:beforeAutospacing="0" w:after="0" w:afterAutospacing="0" w:line="360" w:lineRule="auto"/>
        <w:ind w:firstLine="560" w:firstLineChars="200"/>
        <w:rPr>
          <w:rFonts w:hint="eastAsia" w:ascii="华文楷体" w:hAnsi="华文楷体" w:eastAsia="华文楷体" w:cs="华文楷体"/>
          <w:kern w:val="2"/>
          <w:sz w:val="28"/>
          <w:szCs w:val="28"/>
          <w:highlight w:val="none"/>
          <w:lang w:eastAsia="zh-CN"/>
        </w:rPr>
      </w:pPr>
      <w:r>
        <w:rPr>
          <w:rFonts w:hint="eastAsia" w:ascii="华文楷体" w:hAnsi="华文楷体" w:eastAsia="华文楷体" w:cs="华文楷体"/>
          <w:kern w:val="2"/>
          <w:sz w:val="28"/>
          <w:szCs w:val="28"/>
          <w:highlight w:val="none"/>
        </w:rPr>
        <w:t>施工的范围: 详见图纸</w:t>
      </w:r>
      <w:r>
        <w:rPr>
          <w:rFonts w:hint="eastAsia" w:ascii="华文楷体" w:hAnsi="华文楷体" w:eastAsia="华文楷体" w:cs="华文楷体"/>
          <w:kern w:val="2"/>
          <w:sz w:val="28"/>
          <w:szCs w:val="28"/>
          <w:highlight w:val="none"/>
          <w:lang w:eastAsia="zh-CN"/>
        </w:rPr>
        <w:t>。</w:t>
      </w:r>
    </w:p>
    <w:p>
      <w:pPr>
        <w:numPr>
          <w:ilvl w:val="0"/>
          <w:numId w:val="1"/>
        </w:numPr>
        <w:spacing w:line="360" w:lineRule="auto"/>
        <w:rPr>
          <w:rFonts w:ascii="华文楷体" w:hAnsi="华文楷体" w:eastAsia="华文楷体" w:cs="华文楷体"/>
          <w:b/>
          <w:bCs/>
          <w:sz w:val="28"/>
          <w:szCs w:val="28"/>
          <w:highlight w:val="none"/>
        </w:rPr>
      </w:pPr>
      <w:r>
        <w:rPr>
          <w:rFonts w:hint="eastAsia" w:ascii="华文楷体" w:hAnsi="华文楷体" w:eastAsia="华文楷体" w:cs="华文楷体"/>
          <w:b/>
          <w:bCs/>
          <w:sz w:val="28"/>
          <w:szCs w:val="28"/>
          <w:highlight w:val="none"/>
        </w:rPr>
        <w:t>工程招标和分包范围</w:t>
      </w:r>
    </w:p>
    <w:p>
      <w:pPr>
        <w:autoSpaceDE w:val="0"/>
        <w:autoSpaceDN w:val="0"/>
        <w:adjustRightInd w:val="0"/>
        <w:spacing w:line="360" w:lineRule="auto"/>
        <w:ind w:firstLine="560" w:firstLineChars="200"/>
        <w:jc w:val="left"/>
        <w:rPr>
          <w:rFonts w:ascii="华文楷体" w:hAnsi="华文楷体" w:eastAsia="华文楷体" w:cs="华文楷体"/>
          <w:sz w:val="28"/>
          <w:szCs w:val="28"/>
        </w:rPr>
      </w:pPr>
      <w:r>
        <w:rPr>
          <w:rFonts w:hint="eastAsia" w:ascii="华文楷体" w:hAnsi="华文楷体" w:eastAsia="华文楷体" w:cs="华文楷体"/>
          <w:sz w:val="28"/>
          <w:szCs w:val="28"/>
          <w:highlight w:val="none"/>
        </w:rPr>
        <w:t>本项目招标清单范围等所有内容，</w:t>
      </w:r>
      <w:r>
        <w:rPr>
          <w:rFonts w:hint="eastAsia" w:ascii="华文楷体" w:hAnsi="华文楷体" w:eastAsia="华文楷体" w:cs="华文楷体"/>
          <w:sz w:val="28"/>
          <w:szCs w:val="28"/>
        </w:rPr>
        <w:t>本项目共一个标段，无其它专业分包项。</w:t>
      </w:r>
    </w:p>
    <w:p>
      <w:pPr>
        <w:spacing w:line="360" w:lineRule="auto"/>
        <w:rPr>
          <w:rFonts w:ascii="华文楷体" w:hAnsi="华文楷体" w:eastAsia="华文楷体" w:cs="华文楷体"/>
          <w:b/>
          <w:bCs/>
          <w:sz w:val="28"/>
          <w:szCs w:val="28"/>
        </w:rPr>
      </w:pPr>
      <w:r>
        <w:rPr>
          <w:rFonts w:hint="eastAsia" w:ascii="华文楷体" w:hAnsi="华文楷体" w:eastAsia="华文楷体" w:cs="华文楷体"/>
          <w:b/>
          <w:bCs/>
          <w:sz w:val="28"/>
          <w:szCs w:val="28"/>
        </w:rPr>
        <w:t>三、编制依据</w:t>
      </w:r>
    </w:p>
    <w:p>
      <w:pPr>
        <w:autoSpaceDE w:val="0"/>
        <w:autoSpaceDN w:val="0"/>
        <w:adjustRightInd w:val="0"/>
        <w:spacing w:line="360" w:lineRule="auto"/>
        <w:ind w:firstLine="560" w:firstLineChars="200"/>
        <w:jc w:val="left"/>
        <w:rPr>
          <w:rFonts w:ascii="华文楷体" w:hAnsi="华文楷体" w:eastAsia="华文楷体" w:cs="华文楷体"/>
          <w:sz w:val="28"/>
          <w:szCs w:val="28"/>
        </w:rPr>
      </w:pPr>
      <w:r>
        <w:rPr>
          <w:rFonts w:hint="eastAsia" w:ascii="华文楷体" w:hAnsi="华文楷体" w:eastAsia="华文楷体" w:cs="华文楷体"/>
          <w:sz w:val="28"/>
          <w:szCs w:val="28"/>
        </w:rPr>
        <w:t>1、现场实际勘查。</w:t>
      </w:r>
    </w:p>
    <w:p>
      <w:pPr>
        <w:autoSpaceDE w:val="0"/>
        <w:autoSpaceDN w:val="0"/>
        <w:adjustRightInd w:val="0"/>
        <w:spacing w:line="360" w:lineRule="auto"/>
        <w:ind w:firstLine="560" w:firstLineChars="200"/>
        <w:jc w:val="left"/>
        <w:rPr>
          <w:rFonts w:ascii="华文楷体" w:hAnsi="华文楷体" w:eastAsia="华文楷体" w:cs="华文楷体"/>
          <w:sz w:val="28"/>
          <w:szCs w:val="28"/>
        </w:rPr>
      </w:pPr>
      <w:r>
        <w:rPr>
          <w:rFonts w:hint="eastAsia" w:ascii="华文楷体" w:hAnsi="华文楷体" w:eastAsia="华文楷体" w:cs="华文楷体"/>
          <w:sz w:val="28"/>
          <w:szCs w:val="28"/>
        </w:rPr>
        <w:t>2、《省住房城乡建设厅关于&lt;建设工程工程量清单计价规范&gt;（GB50500—2013）及其9本工程量计算规范的贯彻意见》（苏建价〔2014〕448号）。</w:t>
      </w:r>
    </w:p>
    <w:p>
      <w:pPr>
        <w:autoSpaceDE w:val="0"/>
        <w:autoSpaceDN w:val="0"/>
        <w:adjustRightInd w:val="0"/>
        <w:spacing w:line="360" w:lineRule="auto"/>
        <w:ind w:firstLine="560" w:firstLineChars="200"/>
        <w:jc w:val="left"/>
        <w:rPr>
          <w:rFonts w:ascii="华文楷体" w:hAnsi="华文楷体" w:eastAsia="华文楷体" w:cs="华文楷体"/>
          <w:sz w:val="28"/>
          <w:szCs w:val="28"/>
        </w:rPr>
      </w:pPr>
      <w:r>
        <w:rPr>
          <w:rFonts w:hint="eastAsia" w:ascii="华文楷体" w:hAnsi="华文楷体" w:eastAsia="华文楷体" w:cs="华文楷体"/>
          <w:sz w:val="28"/>
          <w:szCs w:val="28"/>
        </w:rPr>
        <w:t>3、《省住房城乡建设厅关于建筑业实施营改增后江苏省建设工程计价依据调整的通知》（苏建价〔2016〕154号）中不可竞争费用的规定。</w:t>
      </w:r>
    </w:p>
    <w:p>
      <w:pPr>
        <w:autoSpaceDE w:val="0"/>
        <w:autoSpaceDN w:val="0"/>
        <w:adjustRightInd w:val="0"/>
        <w:spacing w:line="360" w:lineRule="auto"/>
        <w:ind w:firstLine="560" w:firstLineChars="200"/>
        <w:jc w:val="left"/>
        <w:rPr>
          <w:rFonts w:hint="eastAsia" w:ascii="华文楷体" w:hAnsi="华文楷体" w:eastAsia="华文楷体" w:cs="华文楷体"/>
          <w:sz w:val="28"/>
          <w:szCs w:val="28"/>
        </w:rPr>
      </w:pPr>
      <w:r>
        <w:rPr>
          <w:rFonts w:hint="eastAsia" w:ascii="华文楷体" w:hAnsi="华文楷体" w:eastAsia="华文楷体" w:cs="华文楷体"/>
          <w:sz w:val="28"/>
          <w:szCs w:val="28"/>
        </w:rPr>
        <w:t>4、《省住房城乡建设厅关于调整建设工程计价增值税税率的通知》（苏建函价﹝2019﹞178号）。</w:t>
      </w:r>
    </w:p>
    <w:p>
      <w:pPr>
        <w:autoSpaceDE w:val="0"/>
        <w:autoSpaceDN w:val="0"/>
        <w:adjustRightInd w:val="0"/>
        <w:spacing w:line="360" w:lineRule="auto"/>
        <w:ind w:firstLine="560" w:firstLineChars="200"/>
        <w:jc w:val="left"/>
        <w:rPr>
          <w:rFonts w:hint="default" w:ascii="华文楷体" w:hAnsi="华文楷体" w:eastAsia="华文楷体" w:cs="华文楷体"/>
          <w:sz w:val="28"/>
          <w:szCs w:val="28"/>
          <w:lang w:val="en-US" w:eastAsia="zh-CN"/>
        </w:rPr>
      </w:pPr>
      <w:r>
        <w:rPr>
          <w:rFonts w:hint="eastAsia" w:ascii="华文楷体" w:hAnsi="华文楷体" w:eastAsia="华文楷体" w:cs="华文楷体"/>
          <w:sz w:val="28"/>
          <w:szCs w:val="28"/>
          <w:lang w:val="en-US" w:eastAsia="zh-CN"/>
        </w:rPr>
        <w:t>5、现场勘察。</w:t>
      </w:r>
    </w:p>
    <w:p>
      <w:pPr>
        <w:autoSpaceDE w:val="0"/>
        <w:autoSpaceDN w:val="0"/>
        <w:adjustRightInd w:val="0"/>
        <w:spacing w:line="360" w:lineRule="auto"/>
        <w:ind w:firstLine="560" w:firstLineChars="200"/>
        <w:jc w:val="left"/>
        <w:rPr>
          <w:rFonts w:ascii="华文楷体" w:hAnsi="华文楷体" w:eastAsia="华文楷体" w:cs="华文楷体"/>
          <w:sz w:val="28"/>
          <w:szCs w:val="28"/>
        </w:rPr>
      </w:pPr>
      <w:r>
        <w:rPr>
          <w:rFonts w:hint="eastAsia" w:ascii="华文楷体" w:hAnsi="华文楷体" w:eastAsia="华文楷体" w:cs="华文楷体"/>
          <w:sz w:val="28"/>
          <w:szCs w:val="28"/>
          <w:lang w:val="en-US" w:eastAsia="zh-CN"/>
        </w:rPr>
        <w:t>6</w:t>
      </w:r>
      <w:r>
        <w:rPr>
          <w:rFonts w:hint="eastAsia" w:ascii="华文楷体" w:hAnsi="华文楷体" w:eastAsia="华文楷体" w:cs="华文楷体"/>
          <w:sz w:val="28"/>
          <w:szCs w:val="28"/>
        </w:rPr>
        <w:t>、其它文件等。</w:t>
      </w:r>
    </w:p>
    <w:p>
      <w:pPr>
        <w:spacing w:line="360" w:lineRule="auto"/>
        <w:rPr>
          <w:rFonts w:ascii="华文楷体" w:hAnsi="华文楷体" w:eastAsia="华文楷体" w:cs="华文楷体"/>
          <w:b/>
          <w:bCs/>
          <w:sz w:val="28"/>
          <w:szCs w:val="28"/>
        </w:rPr>
      </w:pPr>
      <w:r>
        <w:rPr>
          <w:rFonts w:hint="eastAsia" w:ascii="华文楷体" w:hAnsi="华文楷体" w:eastAsia="华文楷体" w:cs="华文楷体"/>
          <w:b/>
          <w:bCs/>
          <w:sz w:val="28"/>
          <w:szCs w:val="28"/>
        </w:rPr>
        <w:t>四、图纸及工程量计算中的相关说明</w:t>
      </w:r>
    </w:p>
    <w:p>
      <w:pPr>
        <w:pStyle w:val="22"/>
        <w:widowControl/>
        <w:spacing w:before="0" w:beforeAutospacing="0" w:after="0" w:afterAutospacing="0"/>
        <w:ind w:firstLine="560" w:firstLineChars="200"/>
        <w:rPr>
          <w:rFonts w:ascii="华文楷体" w:hAnsi="华文楷体" w:eastAsia="华文楷体" w:cs="华文楷体"/>
          <w:kern w:val="2"/>
          <w:sz w:val="28"/>
          <w:szCs w:val="28"/>
        </w:rPr>
      </w:pPr>
      <w:r>
        <w:rPr>
          <w:rFonts w:hint="eastAsia" w:ascii="华文楷体" w:hAnsi="华文楷体" w:eastAsia="华文楷体" w:cs="华文楷体"/>
          <w:kern w:val="2"/>
          <w:sz w:val="28"/>
          <w:szCs w:val="28"/>
        </w:rPr>
        <w:t>1、通用部分</w:t>
      </w:r>
    </w:p>
    <w:p>
      <w:pPr>
        <w:pStyle w:val="22"/>
        <w:widowControl/>
        <w:spacing w:before="0" w:beforeAutospacing="0" w:after="0" w:afterAutospacing="0"/>
        <w:ind w:firstLine="560" w:firstLineChars="200"/>
        <w:rPr>
          <w:rFonts w:hint="eastAsia" w:ascii="华文楷体" w:hAnsi="华文楷体" w:eastAsia="华文楷体" w:cs="华文楷体"/>
          <w:sz w:val="28"/>
          <w:szCs w:val="28"/>
        </w:rPr>
      </w:pPr>
      <w:r>
        <w:rPr>
          <w:rFonts w:hint="eastAsia" w:ascii="华文楷体" w:hAnsi="华文楷体" w:eastAsia="华文楷体" w:cs="华文楷体"/>
          <w:sz w:val="28"/>
          <w:szCs w:val="28"/>
        </w:rPr>
        <w:t>（1）投标人在投标报价时结合现场实际情况考虑夜间施工及围挡防护安全，结算时不再调整；</w:t>
      </w:r>
    </w:p>
    <w:p>
      <w:pPr>
        <w:pStyle w:val="22"/>
        <w:widowControl/>
        <w:spacing w:before="0" w:beforeAutospacing="0" w:after="0" w:afterAutospacing="0"/>
        <w:ind w:firstLine="560" w:firstLineChars="200"/>
        <w:rPr>
          <w:rFonts w:hint="eastAsia" w:ascii="华文楷体" w:hAnsi="华文楷体" w:eastAsia="华文楷体" w:cs="华文楷体"/>
          <w:sz w:val="28"/>
          <w:szCs w:val="28"/>
        </w:rPr>
      </w:pPr>
      <w:r>
        <w:rPr>
          <w:rFonts w:hint="eastAsia" w:ascii="华文楷体" w:hAnsi="华文楷体" w:eastAsia="华文楷体" w:cs="华文楷体"/>
          <w:sz w:val="28"/>
          <w:szCs w:val="28"/>
        </w:rPr>
        <w:t>（2）本工程所需报验、报检费用甲方不予承担，投标人自行考虑计入投标报价；</w:t>
      </w:r>
    </w:p>
    <w:p>
      <w:pPr>
        <w:pStyle w:val="22"/>
        <w:widowControl/>
        <w:spacing w:before="0" w:beforeAutospacing="0" w:after="0" w:afterAutospacing="0"/>
        <w:ind w:firstLine="560" w:firstLineChars="200"/>
        <w:rPr>
          <w:rFonts w:hint="eastAsia" w:ascii="华文楷体" w:hAnsi="华文楷体" w:eastAsia="华文楷体" w:cs="华文楷体"/>
          <w:sz w:val="28"/>
          <w:szCs w:val="28"/>
        </w:rPr>
      </w:pPr>
      <w:r>
        <w:rPr>
          <w:rFonts w:hint="eastAsia" w:ascii="华文楷体" w:hAnsi="华文楷体" w:eastAsia="华文楷体" w:cs="华文楷体"/>
          <w:sz w:val="28"/>
          <w:szCs w:val="28"/>
        </w:rPr>
        <w:t>（3）措施费项目投标单位可自行增添内容，自行报价，未计放部分按优惠考虑，结算时不再调整，投标人在报价中应充分考虑所涉及的各项措施费及风险因素后再进行报价，不可竞争费按规定报价；</w:t>
      </w:r>
    </w:p>
    <w:p>
      <w:pPr>
        <w:pStyle w:val="22"/>
        <w:widowControl/>
        <w:spacing w:before="0" w:beforeAutospacing="0" w:after="0" w:afterAutospacing="0"/>
        <w:ind w:firstLine="560" w:firstLineChars="200"/>
        <w:rPr>
          <w:rFonts w:hint="eastAsia" w:ascii="华文楷体" w:hAnsi="华文楷体" w:eastAsia="华文楷体" w:cs="华文楷体"/>
          <w:sz w:val="28"/>
          <w:szCs w:val="28"/>
        </w:rPr>
      </w:pPr>
      <w:r>
        <w:rPr>
          <w:rFonts w:hint="eastAsia" w:ascii="华文楷体" w:hAnsi="华文楷体" w:eastAsia="华文楷体" w:cs="华文楷体"/>
          <w:sz w:val="28"/>
          <w:szCs w:val="28"/>
        </w:rPr>
        <w:t>（4）施工现场、交通运输情况及自然地理条件由投标人自行现场勘察，应充分考虑本工程场地现状的特点，可能对工程施工造成的影响并由此增加的费用等，做出考量一并考虑在投标报价中；</w:t>
      </w:r>
    </w:p>
    <w:p>
      <w:pPr>
        <w:pStyle w:val="22"/>
        <w:widowControl/>
        <w:spacing w:before="0" w:beforeAutospacing="0" w:after="0" w:afterAutospacing="0"/>
        <w:ind w:firstLine="560" w:firstLineChars="200"/>
        <w:rPr>
          <w:rFonts w:hint="eastAsia" w:ascii="华文楷体" w:hAnsi="华文楷体" w:eastAsia="华文楷体" w:cs="华文楷体"/>
          <w:sz w:val="28"/>
          <w:szCs w:val="28"/>
        </w:rPr>
      </w:pPr>
      <w:r>
        <w:rPr>
          <w:rFonts w:hint="eastAsia" w:ascii="华文楷体" w:hAnsi="华文楷体" w:eastAsia="华文楷体" w:cs="华文楷体"/>
          <w:sz w:val="28"/>
          <w:szCs w:val="28"/>
        </w:rPr>
        <w:t>（5）清单中项目特征描述清单的主要特征，详见图纸，投标报价时应考虑图纸所示施工要求等一切费用；</w:t>
      </w:r>
    </w:p>
    <w:p>
      <w:pPr>
        <w:pStyle w:val="22"/>
        <w:widowControl/>
        <w:spacing w:before="0" w:beforeAutospacing="0" w:after="0" w:afterAutospacing="0"/>
        <w:ind w:firstLine="560" w:firstLineChars="200"/>
        <w:rPr>
          <w:rFonts w:hint="eastAsia" w:ascii="华文楷体" w:hAnsi="华文楷体" w:eastAsia="华文楷体" w:cs="华文楷体"/>
          <w:sz w:val="28"/>
          <w:szCs w:val="28"/>
        </w:rPr>
      </w:pPr>
      <w:r>
        <w:rPr>
          <w:rFonts w:hint="eastAsia" w:ascii="华文楷体" w:hAnsi="华文楷体" w:eastAsia="华文楷体" w:cs="华文楷体"/>
          <w:sz w:val="28"/>
          <w:szCs w:val="28"/>
        </w:rPr>
        <w:t>（6）工程量清单应与招标文件、招标项目图纸等文件结合起来查阅与理解。工程量清单中所描述的项目特征仅为招标人对该分部分项目工程特征的概述，而非是工程特征的全面描述，报价时必须按施工图纸及相关的国家规范的要求</w:t>
      </w:r>
      <w:r>
        <w:rPr>
          <w:rFonts w:hint="eastAsia" w:ascii="华文楷体" w:hAnsi="华文楷体" w:eastAsia="华文楷体" w:cs="华文楷体"/>
          <w:sz w:val="28"/>
          <w:szCs w:val="28"/>
          <w:lang w:eastAsia="zh-CN"/>
        </w:rPr>
        <w:t>，</w:t>
      </w:r>
      <w:r>
        <w:rPr>
          <w:rFonts w:hint="eastAsia" w:ascii="华文楷体" w:hAnsi="华文楷体" w:eastAsia="华文楷体" w:cs="华文楷体"/>
          <w:sz w:val="28"/>
          <w:szCs w:val="28"/>
        </w:rPr>
        <w:t>清单中项目特征描述不论是否完整，项目特征描述是否全面，招标图纸上的内容均含在此次报价内，投标人未在答疑阶段提出的均视为让利，该部分费用含在投标总费用当中，中标后不做调整（设计变更除外）。</w:t>
      </w:r>
    </w:p>
    <w:p>
      <w:pPr>
        <w:pStyle w:val="22"/>
        <w:widowControl/>
        <w:spacing w:before="0" w:beforeAutospacing="0" w:after="0" w:afterAutospacing="0"/>
        <w:ind w:firstLine="560" w:firstLineChars="200"/>
        <w:rPr>
          <w:rFonts w:hint="eastAsia" w:ascii="华文楷体" w:hAnsi="华文楷体" w:eastAsia="华文楷体" w:cs="华文楷体"/>
          <w:sz w:val="28"/>
          <w:szCs w:val="28"/>
        </w:rPr>
      </w:pPr>
      <w:r>
        <w:rPr>
          <w:rFonts w:hint="eastAsia" w:ascii="华文楷体" w:hAnsi="华文楷体" w:eastAsia="华文楷体" w:cs="华文楷体"/>
          <w:sz w:val="28"/>
          <w:szCs w:val="28"/>
        </w:rPr>
        <w:t>（7）投标人在投标文件中应明确主要材料所报的品牌、规格型号及厂家，包括招标文件和工程量清单编制说明中已经列明的品牌或投标人自报材料的品牌，否则招标人有权对没有报品牌的主要材料指定相应的品牌，投标人无权拒绝。</w:t>
      </w:r>
    </w:p>
    <w:p>
      <w:pPr>
        <w:pStyle w:val="22"/>
        <w:widowControl/>
        <w:spacing w:before="0" w:beforeAutospacing="0" w:after="0" w:afterAutospacing="0"/>
        <w:ind w:firstLine="560" w:firstLineChars="200"/>
        <w:rPr>
          <w:rFonts w:hint="eastAsia" w:ascii="华文楷体" w:hAnsi="华文楷体" w:eastAsia="华文楷体" w:cs="华文楷体"/>
          <w:sz w:val="28"/>
          <w:szCs w:val="28"/>
        </w:rPr>
      </w:pPr>
      <w:r>
        <w:rPr>
          <w:rFonts w:hint="eastAsia" w:ascii="华文楷体" w:hAnsi="华文楷体" w:eastAsia="华文楷体" w:cs="华文楷体"/>
          <w:sz w:val="28"/>
          <w:szCs w:val="28"/>
        </w:rPr>
        <w:t>（8）承包人对分包商配合内容为：①垂直运输；②现场文明施工；③外墙脚手施工和井道内脚手施工；④专业队伍预留洞、槽等及修补；⑤提供临时用水、电的接口；⑥材料堆放点（房间）及办公场所；⑦安全宣传，措施落实及处理；⑧成品保护；⑨竣工资料收集及工程统一报验。</w:t>
      </w:r>
    </w:p>
    <w:p>
      <w:pPr>
        <w:pStyle w:val="22"/>
        <w:widowControl/>
        <w:spacing w:before="0" w:beforeAutospacing="0" w:after="0" w:afterAutospacing="0"/>
        <w:ind w:firstLine="560" w:firstLineChars="200"/>
        <w:rPr>
          <w:rFonts w:ascii="华文楷体" w:hAnsi="华文楷体" w:eastAsia="华文楷体" w:cs="华文楷体"/>
          <w:kern w:val="2"/>
          <w:sz w:val="28"/>
          <w:szCs w:val="28"/>
        </w:rPr>
      </w:pPr>
      <w:r>
        <w:rPr>
          <w:rFonts w:hint="eastAsia" w:ascii="华文楷体" w:hAnsi="华文楷体" w:eastAsia="华文楷体" w:cs="华文楷体"/>
          <w:kern w:val="2"/>
          <w:sz w:val="28"/>
          <w:szCs w:val="28"/>
        </w:rPr>
        <w:t>2、拆除、铺装部分</w:t>
      </w:r>
    </w:p>
    <w:p>
      <w:pPr>
        <w:pStyle w:val="22"/>
        <w:widowControl/>
        <w:spacing w:before="0" w:beforeAutospacing="0" w:after="0" w:afterAutospacing="0"/>
        <w:ind w:firstLine="560" w:firstLineChars="200"/>
        <w:rPr>
          <w:rFonts w:hint="eastAsia" w:ascii="华文楷体" w:hAnsi="华文楷体" w:eastAsia="华文楷体" w:cs="华文楷体"/>
          <w:sz w:val="28"/>
          <w:szCs w:val="28"/>
        </w:rPr>
      </w:pPr>
      <w:r>
        <w:rPr>
          <w:rFonts w:hint="eastAsia" w:ascii="华文楷体" w:hAnsi="华文楷体" w:eastAsia="华文楷体" w:cs="华文楷体"/>
          <w:sz w:val="28"/>
          <w:szCs w:val="28"/>
        </w:rPr>
        <w:t>（1）</w:t>
      </w:r>
      <w:r>
        <w:rPr>
          <w:rFonts w:hint="eastAsia" w:ascii="华文楷体" w:hAnsi="华文楷体" w:eastAsia="华文楷体" w:cs="华文楷体"/>
          <w:sz w:val="28"/>
          <w:szCs w:val="28"/>
          <w:lang w:val="en-US" w:eastAsia="zh-CN"/>
        </w:rPr>
        <w:t>地面拆除施工中应包含锯缝及非施工面保护等工作内容，投标人应综合考虑在</w:t>
      </w:r>
      <w:r>
        <w:rPr>
          <w:rFonts w:hint="eastAsia" w:ascii="华文楷体" w:hAnsi="华文楷体" w:eastAsia="华文楷体" w:cs="华文楷体"/>
          <w:sz w:val="28"/>
          <w:szCs w:val="28"/>
        </w:rPr>
        <w:t>投标报价中。</w:t>
      </w:r>
    </w:p>
    <w:p>
      <w:pPr>
        <w:pStyle w:val="22"/>
        <w:widowControl/>
        <w:spacing w:before="0" w:beforeAutospacing="0" w:after="0" w:afterAutospacing="0"/>
        <w:ind w:firstLine="560" w:firstLineChars="200"/>
        <w:rPr>
          <w:rFonts w:hint="eastAsia" w:ascii="华文楷体" w:hAnsi="华文楷体" w:eastAsia="华文楷体" w:cs="华文楷体"/>
          <w:sz w:val="28"/>
          <w:szCs w:val="28"/>
        </w:rPr>
      </w:pPr>
      <w:r>
        <w:rPr>
          <w:rFonts w:hint="eastAsia" w:ascii="华文楷体" w:hAnsi="华文楷体" w:eastAsia="华文楷体" w:cs="华文楷体"/>
          <w:sz w:val="28"/>
          <w:szCs w:val="28"/>
        </w:rPr>
        <w:t>（2）</w:t>
      </w:r>
      <w:r>
        <w:rPr>
          <w:rFonts w:hint="eastAsia" w:ascii="华文楷体" w:hAnsi="华文楷体" w:eastAsia="华文楷体" w:cs="华文楷体"/>
          <w:sz w:val="28"/>
          <w:szCs w:val="28"/>
          <w:lang w:val="en-US" w:eastAsia="zh-CN"/>
        </w:rPr>
        <w:t>铺装工程需原样恢复</w:t>
      </w:r>
      <w:r>
        <w:rPr>
          <w:rFonts w:hint="eastAsia" w:ascii="华文楷体" w:hAnsi="华文楷体" w:eastAsia="华文楷体" w:cs="华文楷体"/>
          <w:sz w:val="28"/>
          <w:szCs w:val="28"/>
        </w:rPr>
        <w:t>。</w:t>
      </w:r>
    </w:p>
    <w:p>
      <w:pPr>
        <w:pStyle w:val="22"/>
        <w:widowControl/>
        <w:spacing w:before="0" w:beforeAutospacing="0" w:after="0" w:afterAutospacing="0"/>
        <w:ind w:firstLine="560" w:firstLineChars="200"/>
        <w:rPr>
          <w:rFonts w:hint="default" w:ascii="华文楷体" w:hAnsi="华文楷体" w:eastAsia="华文楷体" w:cs="华文楷体"/>
          <w:kern w:val="2"/>
          <w:sz w:val="28"/>
          <w:szCs w:val="28"/>
          <w:lang w:val="en-US" w:eastAsia="zh-CN"/>
        </w:rPr>
      </w:pPr>
      <w:r>
        <w:rPr>
          <w:rFonts w:hint="eastAsia" w:ascii="华文楷体" w:hAnsi="华文楷体" w:eastAsia="华文楷体" w:cs="华文楷体"/>
          <w:kern w:val="2"/>
          <w:sz w:val="28"/>
          <w:szCs w:val="28"/>
          <w:lang w:val="en-US" w:eastAsia="zh-CN"/>
        </w:rPr>
        <w:t>3</w:t>
      </w:r>
      <w:r>
        <w:rPr>
          <w:rFonts w:hint="eastAsia" w:ascii="华文楷体" w:hAnsi="华文楷体" w:eastAsia="华文楷体" w:cs="华文楷体"/>
          <w:kern w:val="2"/>
          <w:sz w:val="28"/>
          <w:szCs w:val="28"/>
        </w:rPr>
        <w:t>、</w:t>
      </w:r>
      <w:r>
        <w:rPr>
          <w:rFonts w:hint="eastAsia" w:ascii="华文楷体" w:hAnsi="华文楷体" w:eastAsia="华文楷体" w:cs="华文楷体"/>
          <w:kern w:val="2"/>
          <w:sz w:val="28"/>
          <w:szCs w:val="28"/>
          <w:lang w:val="en-US" w:eastAsia="zh-CN"/>
        </w:rPr>
        <w:t>雨棚部分</w:t>
      </w:r>
    </w:p>
    <w:p>
      <w:pPr>
        <w:autoSpaceDE w:val="0"/>
        <w:autoSpaceDN w:val="0"/>
        <w:adjustRightInd w:val="0"/>
        <w:spacing w:line="360" w:lineRule="auto"/>
        <w:ind w:firstLine="560" w:firstLineChars="200"/>
        <w:jc w:val="left"/>
        <w:rPr>
          <w:rFonts w:ascii="华文楷体" w:hAnsi="华文楷体" w:eastAsia="华文楷体" w:cs="华文楷体"/>
          <w:sz w:val="28"/>
          <w:szCs w:val="28"/>
        </w:rPr>
      </w:pPr>
      <w:r>
        <w:rPr>
          <w:rFonts w:hint="eastAsia" w:ascii="华文楷体" w:hAnsi="华文楷体" w:eastAsia="华文楷体" w:cs="华文楷体"/>
          <w:sz w:val="28"/>
          <w:szCs w:val="28"/>
        </w:rPr>
        <w:t>（</w:t>
      </w:r>
      <w:r>
        <w:rPr>
          <w:rFonts w:hint="eastAsia" w:ascii="华文楷体" w:hAnsi="华文楷体" w:eastAsia="华文楷体" w:cs="华文楷体"/>
          <w:sz w:val="28"/>
          <w:szCs w:val="28"/>
          <w:lang w:val="en-US" w:eastAsia="zh-CN"/>
        </w:rPr>
        <w:t>1</w:t>
      </w:r>
      <w:r>
        <w:rPr>
          <w:rFonts w:hint="eastAsia" w:ascii="华文楷体" w:hAnsi="华文楷体" w:eastAsia="华文楷体" w:cs="华文楷体"/>
          <w:sz w:val="28"/>
          <w:szCs w:val="28"/>
        </w:rPr>
        <w:t>）施工现场、交通运输情况及自然地理条件由投标人自行现场勘察，应充分考虑本工程场地现状的特点</w:t>
      </w:r>
      <w:r>
        <w:rPr>
          <w:rFonts w:hint="eastAsia" w:ascii="华文楷体" w:hAnsi="华文楷体" w:eastAsia="华文楷体" w:cs="华文楷体"/>
          <w:sz w:val="28"/>
          <w:szCs w:val="28"/>
          <w:lang w:val="en-US" w:eastAsia="zh-CN"/>
        </w:rPr>
        <w:t>并参照校区现有车棚</w:t>
      </w:r>
      <w:r>
        <w:rPr>
          <w:rFonts w:hint="eastAsia" w:ascii="华文楷体" w:hAnsi="华文楷体" w:eastAsia="华文楷体" w:cs="华文楷体"/>
          <w:sz w:val="28"/>
          <w:szCs w:val="28"/>
        </w:rPr>
        <w:t>，可能对工程施工造成的影响并由此增加的费用等，做出考量一并考虑在投标报价中。</w:t>
      </w:r>
    </w:p>
    <w:p>
      <w:pPr>
        <w:spacing w:line="360" w:lineRule="auto"/>
        <w:rPr>
          <w:rFonts w:ascii="华文楷体" w:hAnsi="华文楷体" w:eastAsia="华文楷体" w:cs="华文楷体"/>
          <w:b/>
          <w:bCs/>
          <w:sz w:val="28"/>
          <w:szCs w:val="28"/>
        </w:rPr>
      </w:pPr>
      <w:r>
        <w:rPr>
          <w:rFonts w:hint="eastAsia" w:ascii="华文楷体" w:hAnsi="华文楷体" w:eastAsia="华文楷体" w:cs="华文楷体"/>
          <w:b/>
          <w:bCs/>
          <w:sz w:val="28"/>
          <w:szCs w:val="28"/>
        </w:rPr>
        <w:t>五、主要材料设备</w:t>
      </w:r>
    </w:p>
    <w:p>
      <w:pPr>
        <w:spacing w:line="360" w:lineRule="auto"/>
        <w:ind w:firstLine="560" w:firstLineChars="200"/>
        <w:rPr>
          <w:rFonts w:ascii="华文楷体" w:hAnsi="华文楷体" w:eastAsia="华文楷体" w:cs="华文楷体"/>
          <w:sz w:val="28"/>
          <w:szCs w:val="28"/>
        </w:rPr>
      </w:pPr>
      <w:r>
        <w:rPr>
          <w:rFonts w:hint="eastAsia" w:ascii="华文楷体" w:hAnsi="华文楷体" w:eastAsia="华文楷体" w:cs="华文楷体"/>
          <w:sz w:val="28"/>
          <w:szCs w:val="28"/>
        </w:rPr>
        <w:t>（一）投标人负责采购的主要材料设备</w:t>
      </w:r>
    </w:p>
    <w:p>
      <w:pPr>
        <w:spacing w:line="360" w:lineRule="auto"/>
        <w:ind w:firstLine="560" w:firstLineChars="200"/>
        <w:rPr>
          <w:rFonts w:hint="eastAsia" w:ascii="华文楷体" w:hAnsi="华文楷体" w:eastAsia="华文楷体" w:cs="华文楷体"/>
          <w:sz w:val="28"/>
          <w:szCs w:val="28"/>
        </w:rPr>
      </w:pPr>
      <w:r>
        <w:rPr>
          <w:rFonts w:hint="eastAsia" w:ascii="华文楷体" w:hAnsi="华文楷体" w:eastAsia="华文楷体" w:cs="华文楷体"/>
          <w:sz w:val="28"/>
          <w:szCs w:val="28"/>
        </w:rPr>
        <w:t>本次招标要求投标人在投标时承诺使用招标人提供的品牌，在合同履行过程中进行选择。投标人拟选择推荐的厂家或品牌以外的产品时，必须满足相关技术标准和质量要求，并在“澄清答疑”环节中向招标人提出具体品牌，招标人将在“澄清答疑”环节中答复是否同意。否则中标后，招标人有权要求中标人使用推荐品牌表中的品牌和产品系列，价格不作调整。</w:t>
      </w:r>
    </w:p>
    <w:p>
      <w:pPr>
        <w:spacing w:line="360" w:lineRule="auto"/>
        <w:ind w:firstLine="560" w:firstLineChars="200"/>
        <w:rPr>
          <w:rFonts w:ascii="华文楷体" w:hAnsi="华文楷体" w:eastAsia="华文楷体" w:cs="华文楷体"/>
          <w:sz w:val="28"/>
          <w:szCs w:val="28"/>
        </w:rPr>
      </w:pPr>
      <w:r>
        <w:rPr>
          <w:rFonts w:hint="eastAsia" w:ascii="华文楷体" w:hAnsi="华文楷体" w:eastAsia="华文楷体" w:cs="华文楷体"/>
          <w:sz w:val="28"/>
          <w:szCs w:val="28"/>
        </w:rPr>
        <w:t>1、主要材料品牌推荐表如下：</w:t>
      </w:r>
    </w:p>
    <w:tbl>
      <w:tblPr>
        <w:tblStyle w:val="25"/>
        <w:tblW w:w="94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34"/>
        <w:gridCol w:w="1219"/>
        <w:gridCol w:w="2067"/>
        <w:gridCol w:w="4700"/>
        <w:gridCol w:w="10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9" w:hRule="atLeast"/>
        </w:trPr>
        <w:tc>
          <w:tcPr>
            <w:tcW w:w="434" w:type="dxa"/>
            <w:shd w:val="clear" w:color="auto" w:fill="auto"/>
            <w:tcMar>
              <w:top w:w="12" w:type="dxa"/>
              <w:left w:w="12" w:type="dxa"/>
              <w:right w:w="12" w:type="dxa"/>
            </w:tcMar>
            <w:vAlign w:val="center"/>
          </w:tcPr>
          <w:p>
            <w:pPr>
              <w:widowControl/>
              <w:jc w:val="center"/>
              <w:textAlignment w:val="center"/>
              <w:rPr>
                <w:rFonts w:ascii="华文楷体" w:hAnsi="华文楷体" w:eastAsia="华文楷体" w:cs="华文楷体"/>
                <w:b/>
                <w:bCs/>
                <w:sz w:val="28"/>
                <w:szCs w:val="28"/>
              </w:rPr>
            </w:pPr>
            <w:r>
              <w:rPr>
                <w:rFonts w:hint="eastAsia" w:ascii="华文楷体" w:hAnsi="华文楷体" w:eastAsia="华文楷体" w:cs="华文楷体"/>
                <w:b/>
                <w:bCs/>
                <w:sz w:val="28"/>
                <w:szCs w:val="28"/>
              </w:rPr>
              <w:t>序号</w:t>
            </w:r>
          </w:p>
        </w:tc>
        <w:tc>
          <w:tcPr>
            <w:tcW w:w="1219" w:type="dxa"/>
            <w:shd w:val="clear" w:color="auto" w:fill="auto"/>
            <w:tcMar>
              <w:top w:w="12" w:type="dxa"/>
              <w:left w:w="12" w:type="dxa"/>
              <w:right w:w="12" w:type="dxa"/>
            </w:tcMar>
            <w:vAlign w:val="center"/>
          </w:tcPr>
          <w:p>
            <w:pPr>
              <w:widowControl/>
              <w:jc w:val="center"/>
              <w:textAlignment w:val="center"/>
              <w:rPr>
                <w:rFonts w:ascii="华文楷体" w:hAnsi="华文楷体" w:eastAsia="华文楷体" w:cs="华文楷体"/>
                <w:b/>
                <w:bCs/>
                <w:sz w:val="28"/>
                <w:szCs w:val="28"/>
              </w:rPr>
            </w:pPr>
            <w:r>
              <w:rPr>
                <w:rFonts w:hint="eastAsia" w:ascii="华文楷体" w:hAnsi="华文楷体" w:eastAsia="华文楷体" w:cs="华文楷体"/>
                <w:b/>
                <w:bCs/>
                <w:sz w:val="28"/>
                <w:szCs w:val="28"/>
              </w:rPr>
              <w:t>材料设备名称</w:t>
            </w:r>
          </w:p>
        </w:tc>
        <w:tc>
          <w:tcPr>
            <w:tcW w:w="2067" w:type="dxa"/>
            <w:shd w:val="clear" w:color="auto" w:fill="auto"/>
            <w:tcMar>
              <w:top w:w="12" w:type="dxa"/>
              <w:left w:w="12" w:type="dxa"/>
              <w:right w:w="12" w:type="dxa"/>
            </w:tcMar>
            <w:vAlign w:val="center"/>
          </w:tcPr>
          <w:p>
            <w:pPr>
              <w:widowControl/>
              <w:jc w:val="center"/>
              <w:textAlignment w:val="center"/>
              <w:rPr>
                <w:rFonts w:ascii="华文楷体" w:hAnsi="华文楷体" w:eastAsia="华文楷体" w:cs="华文楷体"/>
                <w:b/>
                <w:bCs/>
                <w:sz w:val="28"/>
                <w:szCs w:val="28"/>
              </w:rPr>
            </w:pPr>
            <w:r>
              <w:rPr>
                <w:rFonts w:hint="eastAsia" w:ascii="华文楷体" w:hAnsi="华文楷体" w:eastAsia="华文楷体" w:cs="华文楷体"/>
                <w:b/>
                <w:bCs/>
                <w:sz w:val="28"/>
                <w:szCs w:val="28"/>
              </w:rPr>
              <w:t>推荐品牌</w:t>
            </w:r>
          </w:p>
        </w:tc>
        <w:tc>
          <w:tcPr>
            <w:tcW w:w="4700" w:type="dxa"/>
            <w:shd w:val="clear" w:color="auto" w:fill="auto"/>
            <w:tcMar>
              <w:top w:w="12" w:type="dxa"/>
              <w:left w:w="12" w:type="dxa"/>
              <w:right w:w="12" w:type="dxa"/>
            </w:tcMar>
            <w:vAlign w:val="center"/>
          </w:tcPr>
          <w:p>
            <w:pPr>
              <w:widowControl/>
              <w:jc w:val="center"/>
              <w:textAlignment w:val="center"/>
              <w:rPr>
                <w:rFonts w:ascii="华文楷体" w:hAnsi="华文楷体" w:eastAsia="华文楷体" w:cs="华文楷体"/>
                <w:b/>
                <w:bCs/>
                <w:sz w:val="28"/>
                <w:szCs w:val="28"/>
              </w:rPr>
            </w:pPr>
            <w:r>
              <w:rPr>
                <w:rFonts w:hint="eastAsia" w:ascii="华文楷体" w:hAnsi="华文楷体" w:eastAsia="华文楷体" w:cs="华文楷体"/>
                <w:b/>
                <w:bCs/>
                <w:sz w:val="28"/>
                <w:szCs w:val="28"/>
              </w:rPr>
              <w:t>生产商全称</w:t>
            </w:r>
          </w:p>
        </w:tc>
        <w:tc>
          <w:tcPr>
            <w:tcW w:w="1026" w:type="dxa"/>
            <w:shd w:val="clear" w:color="auto" w:fill="auto"/>
            <w:tcMar>
              <w:top w:w="12" w:type="dxa"/>
              <w:left w:w="12" w:type="dxa"/>
              <w:right w:w="12" w:type="dxa"/>
            </w:tcMar>
            <w:vAlign w:val="center"/>
          </w:tcPr>
          <w:p>
            <w:pPr>
              <w:widowControl/>
              <w:jc w:val="center"/>
              <w:textAlignment w:val="center"/>
              <w:rPr>
                <w:rFonts w:ascii="华文楷体" w:hAnsi="华文楷体" w:eastAsia="华文楷体" w:cs="华文楷体"/>
                <w:b/>
                <w:bCs/>
                <w:sz w:val="28"/>
                <w:szCs w:val="28"/>
              </w:rPr>
            </w:pPr>
            <w:r>
              <w:rPr>
                <w:rFonts w:hint="eastAsia" w:ascii="华文楷体" w:hAnsi="华文楷体" w:eastAsia="华文楷体" w:cs="华文楷体"/>
                <w:b/>
                <w:bCs/>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9" w:hRule="atLeast"/>
        </w:trPr>
        <w:tc>
          <w:tcPr>
            <w:tcW w:w="434" w:type="dxa"/>
            <w:vMerge w:val="restart"/>
            <w:shd w:val="clear" w:color="auto" w:fill="auto"/>
            <w:tcMar>
              <w:top w:w="12" w:type="dxa"/>
              <w:left w:w="12" w:type="dxa"/>
              <w:right w:w="12" w:type="dxa"/>
            </w:tcMar>
            <w:vAlign w:val="center"/>
          </w:tcPr>
          <w:p>
            <w:pPr>
              <w:jc w:val="center"/>
              <w:rPr>
                <w:rFonts w:hint="eastAsia" w:ascii="华文楷体" w:hAnsi="华文楷体" w:eastAsia="华文楷体" w:cs="华文楷体"/>
                <w:sz w:val="28"/>
                <w:szCs w:val="28"/>
                <w:lang w:val="en-US" w:eastAsia="zh-CN"/>
              </w:rPr>
            </w:pPr>
            <w:r>
              <w:rPr>
                <w:rFonts w:hint="eastAsia" w:ascii="宋体" w:hAnsi="宋体" w:eastAsia="宋体" w:cs="宋体"/>
                <w:color w:val="000000"/>
                <w:kern w:val="0"/>
                <w:sz w:val="20"/>
                <w:szCs w:val="20"/>
                <w:lang w:val="en-US" w:eastAsia="zh-CN" w:bidi="ar"/>
              </w:rPr>
              <w:t>1</w:t>
            </w:r>
          </w:p>
        </w:tc>
        <w:tc>
          <w:tcPr>
            <w:tcW w:w="1219" w:type="dxa"/>
            <w:vMerge w:val="restart"/>
            <w:shd w:val="clear" w:color="auto" w:fill="auto"/>
            <w:tcMar>
              <w:top w:w="12" w:type="dxa"/>
              <w:left w:w="12" w:type="dxa"/>
              <w:right w:w="12" w:type="dxa"/>
            </w:tcMar>
            <w:vAlign w:val="center"/>
          </w:tcPr>
          <w:p>
            <w:pPr>
              <w:widowControl/>
              <w:jc w:val="center"/>
              <w:textAlignment w:val="center"/>
              <w:rPr>
                <w:rFonts w:ascii="华文楷体" w:hAnsi="华文楷体" w:eastAsia="华文楷体" w:cs="华文楷体"/>
                <w:color w:val="000000" w:themeColor="text1"/>
                <w:kern w:val="0"/>
                <w:sz w:val="28"/>
                <w:szCs w:val="28"/>
                <w:lang w:bidi="ar"/>
                <w14:textFill>
                  <w14:solidFill>
                    <w14:schemeClr w14:val="tx1"/>
                  </w14:solidFill>
                </w14:textFill>
              </w:rPr>
            </w:pPr>
            <w:r>
              <w:rPr>
                <w:rFonts w:hint="eastAsia" w:ascii="宋体" w:hAnsi="宋体" w:eastAsia="宋体" w:cs="宋体"/>
                <w:color w:val="000000"/>
                <w:kern w:val="0"/>
                <w:sz w:val="20"/>
                <w:szCs w:val="20"/>
                <w:lang w:bidi="ar"/>
              </w:rPr>
              <w:t>水泥</w:t>
            </w:r>
          </w:p>
        </w:tc>
        <w:tc>
          <w:tcPr>
            <w:tcW w:w="2067" w:type="dxa"/>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海螺</w:t>
            </w:r>
          </w:p>
        </w:tc>
        <w:tc>
          <w:tcPr>
            <w:tcW w:w="4700" w:type="dxa"/>
            <w:shd w:val="clear" w:color="auto" w:fill="auto"/>
            <w:tcMar>
              <w:top w:w="12" w:type="dxa"/>
              <w:left w:w="12" w:type="dxa"/>
              <w:right w:w="12" w:type="dxa"/>
            </w:tcMar>
            <w:vAlign w:val="center"/>
          </w:tcPr>
          <w:p>
            <w:pPr>
              <w:widowControl/>
              <w:jc w:val="center"/>
              <w:textAlignment w:val="center"/>
              <w:rPr>
                <w:rFonts w:hint="default"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val="en-US" w:eastAsia="zh-CN" w:bidi="ar"/>
              </w:rPr>
              <w:t>安徽海螺水泥股份有限公司</w:t>
            </w:r>
          </w:p>
        </w:tc>
        <w:tc>
          <w:tcPr>
            <w:tcW w:w="1026" w:type="dxa"/>
            <w:shd w:val="clear" w:color="auto" w:fill="auto"/>
            <w:tcMar>
              <w:top w:w="12" w:type="dxa"/>
              <w:left w:w="12" w:type="dxa"/>
              <w:right w:w="12" w:type="dxa"/>
            </w:tcMar>
            <w:vAlign w:val="center"/>
          </w:tcPr>
          <w:p>
            <w:pPr>
              <w:widowControl/>
              <w:jc w:val="center"/>
              <w:textAlignment w:val="center"/>
              <w:rPr>
                <w:rFonts w:ascii="华文楷体" w:hAnsi="华文楷体" w:eastAsia="华文楷体" w:cs="华文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9" w:hRule="atLeast"/>
        </w:trPr>
        <w:tc>
          <w:tcPr>
            <w:tcW w:w="434" w:type="dxa"/>
            <w:vMerge w:val="continue"/>
            <w:shd w:val="clear" w:color="auto" w:fill="auto"/>
            <w:tcMar>
              <w:top w:w="12" w:type="dxa"/>
              <w:left w:w="12" w:type="dxa"/>
              <w:right w:w="12" w:type="dxa"/>
            </w:tcMar>
            <w:vAlign w:val="center"/>
          </w:tcPr>
          <w:p>
            <w:pPr>
              <w:jc w:val="center"/>
              <w:rPr>
                <w:rFonts w:ascii="华文楷体" w:hAnsi="华文楷体" w:eastAsia="华文楷体" w:cs="华文楷体"/>
                <w:sz w:val="28"/>
                <w:szCs w:val="28"/>
              </w:rPr>
            </w:pPr>
          </w:p>
        </w:tc>
        <w:tc>
          <w:tcPr>
            <w:tcW w:w="1219" w:type="dxa"/>
            <w:vMerge w:val="continue"/>
            <w:shd w:val="clear" w:color="auto" w:fill="auto"/>
            <w:tcMar>
              <w:top w:w="12" w:type="dxa"/>
              <w:left w:w="12" w:type="dxa"/>
              <w:right w:w="12" w:type="dxa"/>
            </w:tcMar>
            <w:vAlign w:val="center"/>
          </w:tcPr>
          <w:p>
            <w:pPr>
              <w:jc w:val="center"/>
              <w:rPr>
                <w:rFonts w:ascii="华文楷体" w:hAnsi="华文楷体" w:eastAsia="华文楷体" w:cs="华文楷体"/>
                <w:color w:val="000000" w:themeColor="text1"/>
                <w:kern w:val="0"/>
                <w:sz w:val="28"/>
                <w:szCs w:val="28"/>
                <w:lang w:bidi="ar"/>
                <w14:textFill>
                  <w14:solidFill>
                    <w14:schemeClr w14:val="tx1"/>
                  </w14:solidFill>
                </w14:textFill>
              </w:rPr>
            </w:pPr>
          </w:p>
        </w:tc>
        <w:tc>
          <w:tcPr>
            <w:tcW w:w="2067" w:type="dxa"/>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鹤林</w:t>
            </w:r>
          </w:p>
        </w:tc>
        <w:tc>
          <w:tcPr>
            <w:tcW w:w="4700" w:type="dxa"/>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江苏鹤林水泥有限公司</w:t>
            </w:r>
          </w:p>
        </w:tc>
        <w:tc>
          <w:tcPr>
            <w:tcW w:w="1026" w:type="dxa"/>
            <w:shd w:val="clear" w:color="auto" w:fill="auto"/>
            <w:tcMar>
              <w:top w:w="12" w:type="dxa"/>
              <w:left w:w="12" w:type="dxa"/>
              <w:right w:w="12" w:type="dxa"/>
            </w:tcMar>
            <w:vAlign w:val="center"/>
          </w:tcPr>
          <w:p>
            <w:pPr>
              <w:widowControl/>
              <w:jc w:val="center"/>
              <w:textAlignment w:val="center"/>
              <w:rPr>
                <w:rFonts w:ascii="华文楷体" w:hAnsi="华文楷体" w:eastAsia="华文楷体" w:cs="华文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9" w:hRule="atLeast"/>
        </w:trPr>
        <w:tc>
          <w:tcPr>
            <w:tcW w:w="434" w:type="dxa"/>
            <w:vMerge w:val="continue"/>
            <w:shd w:val="clear" w:color="auto" w:fill="auto"/>
            <w:tcMar>
              <w:top w:w="12" w:type="dxa"/>
              <w:left w:w="12" w:type="dxa"/>
              <w:right w:w="12" w:type="dxa"/>
            </w:tcMar>
            <w:vAlign w:val="center"/>
          </w:tcPr>
          <w:p>
            <w:pPr>
              <w:jc w:val="center"/>
              <w:rPr>
                <w:rFonts w:ascii="华文楷体" w:hAnsi="华文楷体" w:eastAsia="华文楷体" w:cs="华文楷体"/>
                <w:sz w:val="28"/>
                <w:szCs w:val="28"/>
              </w:rPr>
            </w:pPr>
          </w:p>
        </w:tc>
        <w:tc>
          <w:tcPr>
            <w:tcW w:w="1219" w:type="dxa"/>
            <w:vMerge w:val="continue"/>
            <w:shd w:val="clear" w:color="auto" w:fill="auto"/>
            <w:tcMar>
              <w:top w:w="12" w:type="dxa"/>
              <w:left w:w="12" w:type="dxa"/>
              <w:right w:w="12" w:type="dxa"/>
            </w:tcMar>
            <w:vAlign w:val="center"/>
          </w:tcPr>
          <w:p>
            <w:pPr>
              <w:jc w:val="center"/>
              <w:rPr>
                <w:rFonts w:ascii="华文楷体" w:hAnsi="华文楷体" w:eastAsia="华文楷体" w:cs="华文楷体"/>
                <w:color w:val="000000" w:themeColor="text1"/>
                <w:kern w:val="0"/>
                <w:sz w:val="28"/>
                <w:szCs w:val="28"/>
                <w:lang w:bidi="ar"/>
                <w14:textFill>
                  <w14:solidFill>
                    <w14:schemeClr w14:val="tx1"/>
                  </w14:solidFill>
                </w14:textFill>
              </w:rPr>
            </w:pPr>
          </w:p>
        </w:tc>
        <w:tc>
          <w:tcPr>
            <w:tcW w:w="2067" w:type="dxa"/>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中联</w:t>
            </w:r>
          </w:p>
        </w:tc>
        <w:tc>
          <w:tcPr>
            <w:tcW w:w="4700" w:type="dxa"/>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中国联合水泥集团有限公司</w:t>
            </w:r>
          </w:p>
        </w:tc>
        <w:tc>
          <w:tcPr>
            <w:tcW w:w="1026" w:type="dxa"/>
            <w:shd w:val="clear" w:color="auto" w:fill="auto"/>
            <w:tcMar>
              <w:top w:w="12" w:type="dxa"/>
              <w:left w:w="12" w:type="dxa"/>
              <w:right w:w="12" w:type="dxa"/>
            </w:tcMar>
            <w:vAlign w:val="center"/>
          </w:tcPr>
          <w:p>
            <w:pPr>
              <w:widowControl/>
              <w:jc w:val="center"/>
              <w:textAlignment w:val="center"/>
              <w:rPr>
                <w:rFonts w:ascii="华文楷体" w:hAnsi="华文楷体" w:eastAsia="华文楷体" w:cs="华文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9" w:hRule="atLeast"/>
        </w:trPr>
        <w:tc>
          <w:tcPr>
            <w:tcW w:w="434" w:type="dxa"/>
            <w:vMerge w:val="restart"/>
            <w:shd w:val="clear" w:color="auto" w:fill="auto"/>
            <w:tcMar>
              <w:top w:w="12" w:type="dxa"/>
              <w:left w:w="12" w:type="dxa"/>
              <w:right w:w="12" w:type="dxa"/>
            </w:tcMar>
            <w:vAlign w:val="center"/>
          </w:tcPr>
          <w:p>
            <w:pPr>
              <w:widowControl/>
              <w:jc w:val="center"/>
              <w:textAlignment w:val="center"/>
              <w:rPr>
                <w:rFonts w:hint="eastAsia" w:ascii="华文楷体" w:hAnsi="华文楷体" w:eastAsia="华文楷体" w:cs="华文楷体"/>
                <w:sz w:val="28"/>
                <w:szCs w:val="28"/>
                <w:lang w:val="en-US" w:eastAsia="zh-CN"/>
              </w:rPr>
            </w:pPr>
            <w:r>
              <w:rPr>
                <w:rFonts w:hint="eastAsia" w:ascii="宋体" w:hAnsi="宋体" w:eastAsia="宋体" w:cs="宋体"/>
                <w:color w:val="000000"/>
                <w:kern w:val="0"/>
                <w:sz w:val="20"/>
                <w:szCs w:val="20"/>
                <w:lang w:val="en-US" w:eastAsia="zh-CN" w:bidi="ar"/>
              </w:rPr>
              <w:t>2</w:t>
            </w:r>
          </w:p>
        </w:tc>
        <w:tc>
          <w:tcPr>
            <w:tcW w:w="1219" w:type="dxa"/>
            <w:vMerge w:val="restart"/>
            <w:shd w:val="clear" w:color="auto" w:fill="auto"/>
            <w:tcMar>
              <w:top w:w="12" w:type="dxa"/>
              <w:left w:w="12" w:type="dxa"/>
              <w:right w:w="12" w:type="dxa"/>
            </w:tcMar>
            <w:vAlign w:val="center"/>
          </w:tcPr>
          <w:p>
            <w:pPr>
              <w:widowControl/>
              <w:jc w:val="center"/>
              <w:textAlignment w:val="center"/>
              <w:rPr>
                <w:rFonts w:hint="default" w:ascii="华文楷体" w:hAnsi="华文楷体" w:eastAsia="华文楷体" w:cs="华文楷体"/>
                <w:color w:val="000000" w:themeColor="text1"/>
                <w:kern w:val="0"/>
                <w:sz w:val="28"/>
                <w:szCs w:val="28"/>
                <w:lang w:val="en-US" w:eastAsia="zh-CN" w:bidi="ar"/>
                <w14:textFill>
                  <w14:solidFill>
                    <w14:schemeClr w14:val="tx1"/>
                  </w14:solidFill>
                </w14:textFill>
              </w:rPr>
            </w:pPr>
            <w:r>
              <w:rPr>
                <w:rFonts w:hint="eastAsia" w:ascii="宋体" w:hAnsi="宋体" w:eastAsia="宋体" w:cs="宋体"/>
                <w:color w:val="000000"/>
                <w:kern w:val="0"/>
                <w:sz w:val="20"/>
                <w:szCs w:val="20"/>
                <w:lang w:val="en-US" w:eastAsia="zh-CN" w:bidi="ar"/>
              </w:rPr>
              <w:t>镀锌、热镀锌型钢</w:t>
            </w:r>
          </w:p>
        </w:tc>
        <w:tc>
          <w:tcPr>
            <w:tcW w:w="2067" w:type="dxa"/>
            <w:shd w:val="clear" w:color="auto" w:fill="auto"/>
            <w:tcMar>
              <w:top w:w="12" w:type="dxa"/>
              <w:left w:w="12" w:type="dxa"/>
              <w:right w:w="12" w:type="dxa"/>
            </w:tcMar>
            <w:vAlign w:val="center"/>
          </w:tcPr>
          <w:p>
            <w:pPr>
              <w:widowControl/>
              <w:jc w:val="center"/>
              <w:textAlignment w:val="center"/>
              <w:rPr>
                <w:rFonts w:hint="eastAsia" w:ascii="宋体" w:hAnsi="宋体" w:eastAsia="宋体" w:cs="宋体"/>
                <w:kern w:val="0"/>
                <w:sz w:val="20"/>
                <w:szCs w:val="20"/>
                <w:lang w:eastAsia="zh-CN" w:bidi="ar"/>
              </w:rPr>
            </w:pPr>
            <w:r>
              <w:rPr>
                <w:rFonts w:hint="eastAsia" w:ascii="宋体" w:hAnsi="宋体" w:eastAsia="宋体" w:cs="宋体"/>
                <w:color w:val="000000"/>
                <w:kern w:val="0"/>
                <w:sz w:val="20"/>
                <w:szCs w:val="20"/>
                <w:lang w:val="en-US" w:eastAsia="zh-CN" w:bidi="ar"/>
              </w:rPr>
              <w:t>马钢</w:t>
            </w:r>
          </w:p>
        </w:tc>
        <w:tc>
          <w:tcPr>
            <w:tcW w:w="4700" w:type="dxa"/>
            <w:shd w:val="clear" w:color="auto" w:fill="auto"/>
            <w:tcMar>
              <w:top w:w="12" w:type="dxa"/>
              <w:left w:w="12" w:type="dxa"/>
              <w:right w:w="12" w:type="dxa"/>
            </w:tcMar>
            <w:vAlign w:val="center"/>
          </w:tcPr>
          <w:p>
            <w:pPr>
              <w:widowControl/>
              <w:jc w:val="center"/>
              <w:textAlignment w:val="center"/>
              <w:rPr>
                <w:rFonts w:hint="default" w:ascii="宋体" w:hAnsi="宋体" w:eastAsia="宋体" w:cs="宋体"/>
                <w:kern w:val="0"/>
                <w:sz w:val="20"/>
                <w:szCs w:val="20"/>
                <w:lang w:val="en-US" w:eastAsia="zh-CN" w:bidi="ar"/>
              </w:rPr>
            </w:pPr>
            <w:r>
              <w:rPr>
                <w:rFonts w:hint="eastAsia" w:ascii="宋体" w:hAnsi="宋体" w:eastAsia="宋体" w:cs="宋体"/>
                <w:color w:val="000000"/>
                <w:kern w:val="0"/>
                <w:sz w:val="20"/>
                <w:szCs w:val="20"/>
                <w:lang w:val="en-US" w:eastAsia="zh-CN" w:bidi="ar"/>
              </w:rPr>
              <w:t>马鞍山钢铁股份有限公司</w:t>
            </w:r>
          </w:p>
        </w:tc>
        <w:tc>
          <w:tcPr>
            <w:tcW w:w="1026" w:type="dxa"/>
            <w:shd w:val="clear" w:color="auto" w:fill="auto"/>
            <w:tcMar>
              <w:top w:w="12" w:type="dxa"/>
              <w:left w:w="12" w:type="dxa"/>
              <w:right w:w="12" w:type="dxa"/>
            </w:tcMar>
            <w:vAlign w:val="center"/>
          </w:tcPr>
          <w:p>
            <w:pPr>
              <w:widowControl/>
              <w:jc w:val="center"/>
              <w:textAlignment w:val="center"/>
              <w:rPr>
                <w:rFonts w:ascii="华文楷体" w:hAnsi="华文楷体" w:eastAsia="华文楷体" w:cs="华文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9" w:hRule="atLeast"/>
        </w:trPr>
        <w:tc>
          <w:tcPr>
            <w:tcW w:w="434" w:type="dxa"/>
            <w:vMerge w:val="continue"/>
            <w:shd w:val="clear" w:color="auto" w:fill="auto"/>
            <w:tcMar>
              <w:top w:w="12" w:type="dxa"/>
              <w:left w:w="12" w:type="dxa"/>
              <w:right w:w="12" w:type="dxa"/>
            </w:tcMar>
            <w:vAlign w:val="center"/>
          </w:tcPr>
          <w:p>
            <w:pPr>
              <w:jc w:val="center"/>
              <w:rPr>
                <w:rFonts w:ascii="华文楷体" w:hAnsi="华文楷体" w:eastAsia="华文楷体" w:cs="华文楷体"/>
                <w:sz w:val="28"/>
                <w:szCs w:val="28"/>
              </w:rPr>
            </w:pPr>
          </w:p>
        </w:tc>
        <w:tc>
          <w:tcPr>
            <w:tcW w:w="1219" w:type="dxa"/>
            <w:vMerge w:val="continue"/>
            <w:shd w:val="clear" w:color="auto" w:fill="auto"/>
            <w:tcMar>
              <w:top w:w="12" w:type="dxa"/>
              <w:left w:w="12" w:type="dxa"/>
              <w:right w:w="12" w:type="dxa"/>
            </w:tcMar>
            <w:vAlign w:val="center"/>
          </w:tcPr>
          <w:p>
            <w:pPr>
              <w:jc w:val="center"/>
              <w:rPr>
                <w:rFonts w:ascii="华文楷体" w:hAnsi="华文楷体" w:eastAsia="华文楷体" w:cs="华文楷体"/>
                <w:color w:val="000000" w:themeColor="text1"/>
                <w:kern w:val="0"/>
                <w:sz w:val="28"/>
                <w:szCs w:val="28"/>
                <w:lang w:bidi="ar"/>
                <w14:textFill>
                  <w14:solidFill>
                    <w14:schemeClr w14:val="tx1"/>
                  </w14:solidFill>
                </w14:textFill>
              </w:rPr>
            </w:pPr>
          </w:p>
        </w:tc>
        <w:tc>
          <w:tcPr>
            <w:tcW w:w="2067" w:type="dxa"/>
            <w:shd w:val="clear" w:color="auto" w:fill="auto"/>
            <w:tcMar>
              <w:top w:w="12" w:type="dxa"/>
              <w:left w:w="12" w:type="dxa"/>
              <w:right w:w="12" w:type="dxa"/>
            </w:tcMar>
            <w:vAlign w:val="center"/>
          </w:tcPr>
          <w:p>
            <w:pPr>
              <w:widowControl/>
              <w:jc w:val="center"/>
              <w:textAlignment w:val="center"/>
              <w:rPr>
                <w:rFonts w:hint="eastAsia" w:ascii="宋体" w:hAnsi="宋体" w:eastAsia="宋体" w:cs="宋体"/>
                <w:color w:val="000000"/>
                <w:kern w:val="0"/>
                <w:sz w:val="20"/>
                <w:szCs w:val="20"/>
                <w:lang w:eastAsia="zh-CN" w:bidi="ar"/>
              </w:rPr>
            </w:pPr>
            <w:r>
              <w:rPr>
                <w:rFonts w:hint="eastAsia" w:ascii="宋体" w:hAnsi="宋体" w:eastAsia="宋体" w:cs="宋体"/>
                <w:color w:val="000000"/>
                <w:kern w:val="0"/>
                <w:sz w:val="20"/>
                <w:szCs w:val="20"/>
                <w:lang w:val="en-US" w:eastAsia="zh-CN" w:bidi="ar"/>
              </w:rPr>
              <w:t>邯钢</w:t>
            </w:r>
          </w:p>
        </w:tc>
        <w:tc>
          <w:tcPr>
            <w:tcW w:w="4700" w:type="dxa"/>
            <w:shd w:val="clear" w:color="auto" w:fill="auto"/>
            <w:tcMar>
              <w:top w:w="12" w:type="dxa"/>
              <w:left w:w="12" w:type="dxa"/>
              <w:right w:w="12" w:type="dxa"/>
            </w:tcMar>
            <w:vAlign w:val="center"/>
          </w:tcPr>
          <w:p>
            <w:pPr>
              <w:widowControl/>
              <w:jc w:val="center"/>
              <w:textAlignment w:val="center"/>
              <w:rPr>
                <w:rFonts w:hint="default"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val="en-US" w:eastAsia="zh-CN" w:bidi="ar"/>
              </w:rPr>
              <w:t>邯郸钢铁集团有限责任公司</w:t>
            </w:r>
          </w:p>
        </w:tc>
        <w:tc>
          <w:tcPr>
            <w:tcW w:w="1026" w:type="dxa"/>
            <w:shd w:val="clear" w:color="auto" w:fill="auto"/>
            <w:tcMar>
              <w:top w:w="12" w:type="dxa"/>
              <w:left w:w="12" w:type="dxa"/>
              <w:right w:w="12" w:type="dxa"/>
            </w:tcMar>
            <w:vAlign w:val="center"/>
          </w:tcPr>
          <w:p>
            <w:pPr>
              <w:widowControl/>
              <w:jc w:val="center"/>
              <w:textAlignment w:val="center"/>
              <w:rPr>
                <w:rFonts w:ascii="华文楷体" w:hAnsi="华文楷体" w:eastAsia="华文楷体" w:cs="华文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9" w:hRule="atLeast"/>
        </w:trPr>
        <w:tc>
          <w:tcPr>
            <w:tcW w:w="434" w:type="dxa"/>
            <w:vMerge w:val="continue"/>
            <w:shd w:val="clear" w:color="auto" w:fill="auto"/>
            <w:tcMar>
              <w:top w:w="12" w:type="dxa"/>
              <w:left w:w="12" w:type="dxa"/>
              <w:right w:w="12" w:type="dxa"/>
            </w:tcMar>
            <w:vAlign w:val="center"/>
          </w:tcPr>
          <w:p>
            <w:pPr>
              <w:jc w:val="center"/>
              <w:rPr>
                <w:rFonts w:ascii="华文楷体" w:hAnsi="华文楷体" w:eastAsia="华文楷体" w:cs="华文楷体"/>
                <w:sz w:val="28"/>
                <w:szCs w:val="28"/>
              </w:rPr>
            </w:pPr>
          </w:p>
        </w:tc>
        <w:tc>
          <w:tcPr>
            <w:tcW w:w="1219" w:type="dxa"/>
            <w:vMerge w:val="continue"/>
            <w:shd w:val="clear" w:color="auto" w:fill="auto"/>
            <w:tcMar>
              <w:top w:w="12" w:type="dxa"/>
              <w:left w:w="12" w:type="dxa"/>
              <w:right w:w="12" w:type="dxa"/>
            </w:tcMar>
            <w:vAlign w:val="center"/>
          </w:tcPr>
          <w:p>
            <w:pPr>
              <w:jc w:val="center"/>
              <w:rPr>
                <w:rFonts w:ascii="华文楷体" w:hAnsi="华文楷体" w:eastAsia="华文楷体" w:cs="华文楷体"/>
                <w:color w:val="000000" w:themeColor="text1"/>
                <w:kern w:val="0"/>
                <w:sz w:val="28"/>
                <w:szCs w:val="28"/>
                <w:lang w:bidi="ar"/>
                <w14:textFill>
                  <w14:solidFill>
                    <w14:schemeClr w14:val="tx1"/>
                  </w14:solidFill>
                </w14:textFill>
              </w:rPr>
            </w:pPr>
          </w:p>
        </w:tc>
        <w:tc>
          <w:tcPr>
            <w:tcW w:w="2067" w:type="dxa"/>
            <w:shd w:val="clear" w:color="auto" w:fill="auto"/>
            <w:tcMar>
              <w:top w:w="12" w:type="dxa"/>
              <w:left w:w="12" w:type="dxa"/>
              <w:right w:w="12" w:type="dxa"/>
            </w:tcMar>
            <w:vAlign w:val="center"/>
          </w:tcPr>
          <w:p>
            <w:pPr>
              <w:widowControl/>
              <w:jc w:val="center"/>
              <w:textAlignment w:val="center"/>
              <w:rPr>
                <w:rFonts w:hint="default" w:ascii="宋体" w:hAnsi="宋体" w:eastAsia="宋体" w:cs="宋体"/>
                <w:kern w:val="0"/>
                <w:sz w:val="20"/>
                <w:szCs w:val="20"/>
                <w:lang w:val="en-US" w:eastAsia="zh-CN" w:bidi="ar"/>
              </w:rPr>
            </w:pPr>
            <w:r>
              <w:rPr>
                <w:rFonts w:hint="eastAsia" w:ascii="宋体" w:hAnsi="宋体" w:eastAsia="宋体" w:cs="宋体"/>
                <w:kern w:val="0"/>
                <w:sz w:val="20"/>
                <w:szCs w:val="20"/>
                <w:lang w:val="en-US" w:eastAsia="zh-CN" w:bidi="ar"/>
              </w:rPr>
              <w:t>宝武</w:t>
            </w:r>
          </w:p>
        </w:tc>
        <w:tc>
          <w:tcPr>
            <w:tcW w:w="4700" w:type="dxa"/>
            <w:shd w:val="clear" w:color="auto" w:fill="auto"/>
            <w:tcMar>
              <w:top w:w="12" w:type="dxa"/>
              <w:left w:w="12" w:type="dxa"/>
              <w:right w:w="12" w:type="dxa"/>
            </w:tcMar>
            <w:vAlign w:val="center"/>
          </w:tcPr>
          <w:p>
            <w:pPr>
              <w:widowControl/>
              <w:jc w:val="center"/>
              <w:textAlignment w:val="center"/>
              <w:rPr>
                <w:rFonts w:hint="default" w:ascii="宋体" w:hAnsi="宋体" w:eastAsia="宋体" w:cs="宋体"/>
                <w:kern w:val="0"/>
                <w:sz w:val="20"/>
                <w:szCs w:val="20"/>
                <w:lang w:val="en-US" w:eastAsia="zh-CN" w:bidi="ar"/>
              </w:rPr>
            </w:pPr>
            <w:r>
              <w:rPr>
                <w:rFonts w:hint="eastAsia" w:ascii="宋体" w:hAnsi="宋体" w:eastAsia="宋体" w:cs="宋体"/>
                <w:color w:val="000000"/>
                <w:kern w:val="0"/>
                <w:sz w:val="20"/>
                <w:szCs w:val="20"/>
                <w:lang w:val="en-US" w:eastAsia="zh-CN" w:bidi="ar"/>
              </w:rPr>
              <w:t>中国宝武钢铁集团有限公司</w:t>
            </w:r>
          </w:p>
        </w:tc>
        <w:tc>
          <w:tcPr>
            <w:tcW w:w="1026" w:type="dxa"/>
            <w:shd w:val="clear" w:color="auto" w:fill="auto"/>
            <w:tcMar>
              <w:top w:w="12" w:type="dxa"/>
              <w:left w:w="12" w:type="dxa"/>
              <w:right w:w="12" w:type="dxa"/>
            </w:tcMar>
            <w:vAlign w:val="center"/>
          </w:tcPr>
          <w:p>
            <w:pPr>
              <w:widowControl/>
              <w:jc w:val="center"/>
              <w:textAlignment w:val="center"/>
              <w:rPr>
                <w:rFonts w:ascii="华文楷体" w:hAnsi="华文楷体" w:eastAsia="华文楷体" w:cs="华文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9" w:hRule="atLeast"/>
        </w:trPr>
        <w:tc>
          <w:tcPr>
            <w:tcW w:w="434" w:type="dxa"/>
            <w:vMerge w:val="restart"/>
            <w:shd w:val="clear" w:color="auto" w:fill="auto"/>
            <w:tcMar>
              <w:top w:w="12" w:type="dxa"/>
              <w:left w:w="12" w:type="dxa"/>
              <w:right w:w="12" w:type="dxa"/>
            </w:tcMar>
            <w:vAlign w:val="center"/>
          </w:tcPr>
          <w:p>
            <w:pPr>
              <w:widowControl/>
              <w:jc w:val="center"/>
              <w:textAlignment w:val="center"/>
              <w:rPr>
                <w:rFonts w:hint="eastAsia" w:ascii="华文楷体" w:hAnsi="华文楷体" w:eastAsia="华文楷体" w:cs="华文楷体"/>
                <w:sz w:val="28"/>
                <w:szCs w:val="28"/>
                <w:lang w:eastAsia="zh-CN"/>
              </w:rPr>
            </w:pPr>
            <w:r>
              <w:rPr>
                <w:rFonts w:hint="eastAsia" w:ascii="宋体" w:hAnsi="宋体" w:eastAsia="宋体" w:cs="宋体"/>
                <w:color w:val="000000"/>
                <w:kern w:val="0"/>
                <w:sz w:val="20"/>
                <w:szCs w:val="20"/>
                <w:lang w:val="en-US" w:eastAsia="zh-CN" w:bidi="ar"/>
              </w:rPr>
              <w:t>3</w:t>
            </w:r>
          </w:p>
        </w:tc>
        <w:tc>
          <w:tcPr>
            <w:tcW w:w="1219" w:type="dxa"/>
            <w:vMerge w:val="restart"/>
            <w:shd w:val="clear" w:color="auto" w:fill="auto"/>
            <w:tcMar>
              <w:top w:w="12" w:type="dxa"/>
              <w:left w:w="12" w:type="dxa"/>
              <w:right w:w="12" w:type="dxa"/>
            </w:tcMar>
            <w:vAlign w:val="center"/>
          </w:tcPr>
          <w:p>
            <w:pPr>
              <w:widowControl/>
              <w:jc w:val="center"/>
              <w:textAlignment w:val="center"/>
              <w:rPr>
                <w:rFonts w:hint="eastAsia" w:ascii="华文楷体" w:hAnsi="华文楷体" w:eastAsia="华文楷体" w:cs="华文楷体"/>
                <w:color w:val="000000" w:themeColor="text1"/>
                <w:kern w:val="0"/>
                <w:sz w:val="28"/>
                <w:szCs w:val="28"/>
                <w:lang w:eastAsia="zh-CN" w:bidi="ar"/>
                <w14:textFill>
                  <w14:solidFill>
                    <w14:schemeClr w14:val="tx1"/>
                  </w14:solidFill>
                </w14:textFill>
              </w:rPr>
            </w:pPr>
            <w:r>
              <w:rPr>
                <w:rFonts w:hint="eastAsia" w:ascii="宋体" w:hAnsi="宋体" w:eastAsia="宋体" w:cs="宋体"/>
                <w:color w:val="000000"/>
                <w:kern w:val="0"/>
                <w:sz w:val="20"/>
                <w:szCs w:val="20"/>
                <w:lang w:val="en-US" w:eastAsia="zh-CN" w:bidi="ar"/>
              </w:rPr>
              <w:t>玻璃原片</w:t>
            </w:r>
          </w:p>
        </w:tc>
        <w:tc>
          <w:tcPr>
            <w:tcW w:w="2067" w:type="dxa"/>
            <w:shd w:val="clear" w:color="auto" w:fill="auto"/>
            <w:tcMar>
              <w:top w:w="12" w:type="dxa"/>
              <w:left w:w="12" w:type="dxa"/>
              <w:right w:w="12" w:type="dxa"/>
            </w:tcMar>
            <w:vAlign w:val="center"/>
          </w:tcPr>
          <w:p>
            <w:pPr>
              <w:widowControl/>
              <w:jc w:val="center"/>
              <w:textAlignment w:val="center"/>
              <w:rPr>
                <w:rFonts w:hint="eastAsia" w:ascii="宋体" w:hAnsi="宋体" w:eastAsia="宋体" w:cs="宋体"/>
                <w:color w:val="000000"/>
                <w:kern w:val="0"/>
                <w:sz w:val="20"/>
                <w:szCs w:val="20"/>
                <w:lang w:eastAsia="zh-CN" w:bidi="ar"/>
              </w:rPr>
            </w:pPr>
            <w:r>
              <w:rPr>
                <w:rFonts w:hint="eastAsia" w:ascii="宋体" w:hAnsi="宋体" w:eastAsia="宋体" w:cs="宋体"/>
                <w:color w:val="000000"/>
                <w:kern w:val="0"/>
                <w:sz w:val="20"/>
                <w:szCs w:val="20"/>
                <w:lang w:val="en-US" w:eastAsia="zh-CN" w:bidi="ar"/>
              </w:rPr>
              <w:t>南玻</w:t>
            </w:r>
          </w:p>
        </w:tc>
        <w:tc>
          <w:tcPr>
            <w:tcW w:w="4700" w:type="dxa"/>
            <w:shd w:val="clear" w:color="auto" w:fill="auto"/>
            <w:tcMar>
              <w:top w:w="12" w:type="dxa"/>
              <w:left w:w="12" w:type="dxa"/>
              <w:right w:w="12" w:type="dxa"/>
            </w:tcMar>
            <w:vAlign w:val="center"/>
          </w:tcPr>
          <w:p>
            <w:pPr>
              <w:widowControl/>
              <w:jc w:val="center"/>
              <w:textAlignment w:val="center"/>
              <w:rPr>
                <w:rFonts w:hint="default"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val="en-US" w:eastAsia="zh-CN" w:bidi="ar"/>
              </w:rPr>
              <w:t>中国南玻集团股份有限公司</w:t>
            </w:r>
          </w:p>
        </w:tc>
        <w:tc>
          <w:tcPr>
            <w:tcW w:w="1026" w:type="dxa"/>
            <w:shd w:val="clear" w:color="auto" w:fill="auto"/>
            <w:tcMar>
              <w:top w:w="12" w:type="dxa"/>
              <w:left w:w="12" w:type="dxa"/>
              <w:right w:w="12" w:type="dxa"/>
            </w:tcMar>
            <w:vAlign w:val="center"/>
          </w:tcPr>
          <w:p>
            <w:pPr>
              <w:widowControl/>
              <w:jc w:val="center"/>
              <w:textAlignment w:val="center"/>
              <w:rPr>
                <w:rFonts w:ascii="华文楷体" w:hAnsi="华文楷体" w:eastAsia="华文楷体" w:cs="华文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9" w:hRule="atLeast"/>
        </w:trPr>
        <w:tc>
          <w:tcPr>
            <w:tcW w:w="434" w:type="dxa"/>
            <w:vMerge w:val="continue"/>
            <w:shd w:val="clear" w:color="auto" w:fill="auto"/>
            <w:tcMar>
              <w:top w:w="12" w:type="dxa"/>
              <w:left w:w="12" w:type="dxa"/>
              <w:right w:w="12" w:type="dxa"/>
            </w:tcMar>
            <w:vAlign w:val="center"/>
          </w:tcPr>
          <w:p>
            <w:pPr>
              <w:widowControl/>
              <w:jc w:val="center"/>
              <w:textAlignment w:val="center"/>
              <w:rPr>
                <w:rFonts w:ascii="华文楷体" w:hAnsi="华文楷体" w:eastAsia="华文楷体" w:cs="华文楷体"/>
                <w:sz w:val="28"/>
                <w:szCs w:val="28"/>
              </w:rPr>
            </w:pPr>
          </w:p>
        </w:tc>
        <w:tc>
          <w:tcPr>
            <w:tcW w:w="1219" w:type="dxa"/>
            <w:vMerge w:val="continue"/>
            <w:shd w:val="clear" w:color="auto" w:fill="auto"/>
            <w:tcMar>
              <w:top w:w="12" w:type="dxa"/>
              <w:left w:w="12" w:type="dxa"/>
              <w:right w:w="12" w:type="dxa"/>
            </w:tcMar>
            <w:vAlign w:val="center"/>
          </w:tcPr>
          <w:p>
            <w:pPr>
              <w:widowControl/>
              <w:jc w:val="center"/>
              <w:textAlignment w:val="center"/>
              <w:rPr>
                <w:rFonts w:ascii="华文楷体" w:hAnsi="华文楷体" w:eastAsia="华文楷体" w:cs="华文楷体"/>
                <w:color w:val="000000" w:themeColor="text1"/>
                <w:kern w:val="0"/>
                <w:sz w:val="28"/>
                <w:szCs w:val="28"/>
                <w:lang w:bidi="ar"/>
                <w14:textFill>
                  <w14:solidFill>
                    <w14:schemeClr w14:val="tx1"/>
                  </w14:solidFill>
                </w14:textFill>
              </w:rPr>
            </w:pPr>
          </w:p>
        </w:tc>
        <w:tc>
          <w:tcPr>
            <w:tcW w:w="2067" w:type="dxa"/>
            <w:shd w:val="clear" w:color="auto" w:fill="auto"/>
            <w:tcMar>
              <w:top w:w="12" w:type="dxa"/>
              <w:left w:w="12" w:type="dxa"/>
              <w:right w:w="12" w:type="dxa"/>
            </w:tcMar>
            <w:vAlign w:val="center"/>
          </w:tcPr>
          <w:p>
            <w:pPr>
              <w:widowControl/>
              <w:jc w:val="center"/>
              <w:textAlignment w:val="center"/>
              <w:rPr>
                <w:rFonts w:hint="eastAsia" w:ascii="宋体" w:hAnsi="宋体" w:eastAsia="宋体" w:cs="宋体"/>
                <w:color w:val="000000"/>
                <w:kern w:val="0"/>
                <w:sz w:val="20"/>
                <w:szCs w:val="20"/>
                <w:lang w:eastAsia="zh-CN" w:bidi="ar"/>
              </w:rPr>
            </w:pPr>
            <w:r>
              <w:rPr>
                <w:rFonts w:hint="eastAsia" w:ascii="宋体" w:hAnsi="宋体" w:eastAsia="宋体" w:cs="宋体"/>
                <w:color w:val="000000"/>
                <w:kern w:val="0"/>
                <w:sz w:val="20"/>
                <w:szCs w:val="20"/>
                <w:lang w:val="en-US" w:eastAsia="zh-CN" w:bidi="ar"/>
              </w:rPr>
              <w:t>耀皮</w:t>
            </w:r>
          </w:p>
        </w:tc>
        <w:tc>
          <w:tcPr>
            <w:tcW w:w="4700" w:type="dxa"/>
            <w:shd w:val="clear" w:color="auto" w:fill="auto"/>
            <w:tcMar>
              <w:top w:w="12" w:type="dxa"/>
              <w:left w:w="12" w:type="dxa"/>
              <w:right w:w="12" w:type="dxa"/>
            </w:tcMar>
            <w:vAlign w:val="center"/>
          </w:tcPr>
          <w:p>
            <w:pPr>
              <w:widowControl/>
              <w:jc w:val="center"/>
              <w:textAlignment w:val="center"/>
              <w:rPr>
                <w:rFonts w:hint="default"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val="en-US" w:eastAsia="zh-CN" w:bidi="ar"/>
              </w:rPr>
              <w:t>上海耀皮玻璃集团股份有限公司</w:t>
            </w:r>
          </w:p>
        </w:tc>
        <w:tc>
          <w:tcPr>
            <w:tcW w:w="1026" w:type="dxa"/>
            <w:shd w:val="clear" w:color="auto" w:fill="auto"/>
            <w:tcMar>
              <w:top w:w="12" w:type="dxa"/>
              <w:left w:w="12" w:type="dxa"/>
              <w:right w:w="12" w:type="dxa"/>
            </w:tcMar>
            <w:vAlign w:val="center"/>
          </w:tcPr>
          <w:p>
            <w:pPr>
              <w:widowControl/>
              <w:jc w:val="center"/>
              <w:textAlignment w:val="center"/>
              <w:rPr>
                <w:rFonts w:ascii="华文楷体" w:hAnsi="华文楷体" w:eastAsia="华文楷体" w:cs="华文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9" w:hRule="atLeast"/>
        </w:trPr>
        <w:tc>
          <w:tcPr>
            <w:tcW w:w="434" w:type="dxa"/>
            <w:vMerge w:val="continue"/>
            <w:shd w:val="clear" w:color="auto" w:fill="auto"/>
            <w:tcMar>
              <w:top w:w="12" w:type="dxa"/>
              <w:left w:w="12" w:type="dxa"/>
              <w:right w:w="12" w:type="dxa"/>
            </w:tcMar>
            <w:vAlign w:val="center"/>
          </w:tcPr>
          <w:p>
            <w:pPr>
              <w:widowControl/>
              <w:jc w:val="center"/>
              <w:textAlignment w:val="center"/>
              <w:rPr>
                <w:rFonts w:ascii="华文楷体" w:hAnsi="华文楷体" w:eastAsia="华文楷体" w:cs="华文楷体"/>
                <w:sz w:val="28"/>
                <w:szCs w:val="28"/>
              </w:rPr>
            </w:pPr>
          </w:p>
        </w:tc>
        <w:tc>
          <w:tcPr>
            <w:tcW w:w="1219" w:type="dxa"/>
            <w:vMerge w:val="continue"/>
            <w:shd w:val="clear" w:color="auto" w:fill="auto"/>
            <w:tcMar>
              <w:top w:w="12" w:type="dxa"/>
              <w:left w:w="12" w:type="dxa"/>
              <w:right w:w="12" w:type="dxa"/>
            </w:tcMar>
            <w:vAlign w:val="center"/>
          </w:tcPr>
          <w:p>
            <w:pPr>
              <w:widowControl/>
              <w:jc w:val="center"/>
              <w:textAlignment w:val="center"/>
              <w:rPr>
                <w:rFonts w:ascii="华文楷体" w:hAnsi="华文楷体" w:eastAsia="华文楷体" w:cs="华文楷体"/>
                <w:color w:val="000000" w:themeColor="text1"/>
                <w:kern w:val="0"/>
                <w:sz w:val="28"/>
                <w:szCs w:val="28"/>
                <w:lang w:bidi="ar"/>
                <w14:textFill>
                  <w14:solidFill>
                    <w14:schemeClr w14:val="tx1"/>
                  </w14:solidFill>
                </w14:textFill>
              </w:rPr>
            </w:pPr>
          </w:p>
        </w:tc>
        <w:tc>
          <w:tcPr>
            <w:tcW w:w="2067" w:type="dxa"/>
            <w:shd w:val="clear" w:color="auto" w:fill="auto"/>
            <w:tcMar>
              <w:top w:w="12" w:type="dxa"/>
              <w:left w:w="12" w:type="dxa"/>
              <w:right w:w="12" w:type="dxa"/>
            </w:tcMar>
            <w:vAlign w:val="center"/>
          </w:tcPr>
          <w:p>
            <w:pPr>
              <w:widowControl/>
              <w:jc w:val="center"/>
              <w:textAlignment w:val="center"/>
              <w:rPr>
                <w:rFonts w:hint="eastAsia" w:ascii="宋体" w:hAnsi="宋体" w:eastAsia="宋体" w:cs="宋体"/>
                <w:color w:val="000000"/>
                <w:kern w:val="0"/>
                <w:sz w:val="20"/>
                <w:szCs w:val="20"/>
                <w:lang w:eastAsia="zh-CN" w:bidi="ar"/>
              </w:rPr>
            </w:pPr>
            <w:r>
              <w:rPr>
                <w:rFonts w:hint="eastAsia" w:ascii="宋体" w:hAnsi="宋体" w:eastAsia="宋体" w:cs="宋体"/>
                <w:color w:val="000000"/>
                <w:kern w:val="0"/>
                <w:sz w:val="20"/>
                <w:szCs w:val="20"/>
                <w:lang w:val="en-US" w:eastAsia="zh-CN" w:bidi="ar"/>
              </w:rPr>
              <w:t>金晶</w:t>
            </w:r>
          </w:p>
        </w:tc>
        <w:tc>
          <w:tcPr>
            <w:tcW w:w="4700" w:type="dxa"/>
            <w:shd w:val="clear" w:color="auto" w:fill="auto"/>
            <w:tcMar>
              <w:top w:w="12" w:type="dxa"/>
              <w:left w:w="12" w:type="dxa"/>
              <w:right w:w="12" w:type="dxa"/>
            </w:tcMar>
            <w:vAlign w:val="center"/>
          </w:tcPr>
          <w:p>
            <w:pPr>
              <w:widowControl/>
              <w:jc w:val="center"/>
              <w:textAlignment w:val="center"/>
              <w:rPr>
                <w:rFonts w:hint="default"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val="en-US" w:eastAsia="zh-CN" w:bidi="ar"/>
              </w:rPr>
              <w:t>山东金晶科技股份有限公司</w:t>
            </w:r>
          </w:p>
        </w:tc>
        <w:tc>
          <w:tcPr>
            <w:tcW w:w="1026" w:type="dxa"/>
            <w:shd w:val="clear" w:color="auto" w:fill="auto"/>
            <w:tcMar>
              <w:top w:w="12" w:type="dxa"/>
              <w:left w:w="12" w:type="dxa"/>
              <w:right w:w="12" w:type="dxa"/>
            </w:tcMar>
            <w:vAlign w:val="center"/>
          </w:tcPr>
          <w:p>
            <w:pPr>
              <w:widowControl/>
              <w:jc w:val="center"/>
              <w:textAlignment w:val="center"/>
              <w:rPr>
                <w:rFonts w:ascii="华文楷体" w:hAnsi="华文楷体" w:eastAsia="华文楷体" w:cs="华文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9" w:hRule="atLeast"/>
        </w:trPr>
        <w:tc>
          <w:tcPr>
            <w:tcW w:w="434" w:type="dxa"/>
            <w:vMerge w:val="restart"/>
            <w:shd w:val="clear" w:color="auto" w:fill="auto"/>
            <w:tcMar>
              <w:top w:w="12" w:type="dxa"/>
              <w:left w:w="12" w:type="dxa"/>
              <w:right w:w="12" w:type="dxa"/>
            </w:tcMar>
            <w:vAlign w:val="center"/>
          </w:tcPr>
          <w:p>
            <w:pPr>
              <w:jc w:val="center"/>
              <w:rPr>
                <w:rFonts w:hint="eastAsia" w:ascii="华文楷体" w:hAnsi="华文楷体" w:eastAsia="华文楷体" w:cs="华文楷体"/>
                <w:sz w:val="28"/>
                <w:szCs w:val="28"/>
                <w:lang w:eastAsia="zh-CN"/>
              </w:rPr>
            </w:pPr>
            <w:r>
              <w:rPr>
                <w:rFonts w:hint="eastAsia" w:ascii="宋体" w:hAnsi="宋体" w:eastAsia="宋体" w:cs="宋体"/>
                <w:color w:val="000000"/>
                <w:kern w:val="0"/>
                <w:sz w:val="20"/>
                <w:szCs w:val="20"/>
                <w:lang w:val="en-US" w:eastAsia="zh-CN" w:bidi="ar"/>
              </w:rPr>
              <w:t>4</w:t>
            </w:r>
          </w:p>
        </w:tc>
        <w:tc>
          <w:tcPr>
            <w:tcW w:w="1219" w:type="dxa"/>
            <w:vMerge w:val="restart"/>
            <w:shd w:val="clear" w:color="auto" w:fill="auto"/>
            <w:tcMar>
              <w:top w:w="12" w:type="dxa"/>
              <w:left w:w="12" w:type="dxa"/>
              <w:right w:w="12" w:type="dxa"/>
            </w:tcMar>
            <w:vAlign w:val="center"/>
          </w:tcPr>
          <w:p>
            <w:pPr>
              <w:widowControl/>
              <w:jc w:val="center"/>
              <w:textAlignment w:val="center"/>
              <w:rPr>
                <w:rFonts w:hint="eastAsia" w:ascii="华文楷体" w:hAnsi="华文楷体" w:eastAsia="华文楷体" w:cs="华文楷体"/>
                <w:color w:val="000000" w:themeColor="text1"/>
                <w:kern w:val="0"/>
                <w:sz w:val="28"/>
                <w:szCs w:val="28"/>
                <w:lang w:eastAsia="zh-CN" w:bidi="ar"/>
                <w14:textFill>
                  <w14:solidFill>
                    <w14:schemeClr w14:val="tx1"/>
                  </w14:solidFill>
                </w14:textFill>
              </w:rPr>
            </w:pPr>
            <w:r>
              <w:rPr>
                <w:rFonts w:hint="eastAsia" w:ascii="宋体" w:hAnsi="宋体" w:eastAsia="宋体" w:cs="宋体"/>
                <w:color w:val="000000"/>
                <w:kern w:val="0"/>
                <w:sz w:val="20"/>
                <w:szCs w:val="20"/>
                <w:lang w:val="en-US" w:eastAsia="zh-CN" w:bidi="ar"/>
              </w:rPr>
              <w:t>密封胶</w:t>
            </w:r>
          </w:p>
        </w:tc>
        <w:tc>
          <w:tcPr>
            <w:tcW w:w="2067" w:type="dxa"/>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陶熙 DOWSIL</w:t>
            </w:r>
          </w:p>
        </w:tc>
        <w:tc>
          <w:tcPr>
            <w:tcW w:w="4700" w:type="dxa"/>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陶氏化学</w:t>
            </w:r>
            <w:r>
              <w:rPr>
                <w:rFonts w:hint="eastAsia" w:ascii="宋体" w:hAnsi="宋体" w:eastAsia="宋体" w:cs="宋体"/>
                <w:color w:val="000000"/>
                <w:kern w:val="0"/>
                <w:sz w:val="20"/>
                <w:szCs w:val="20"/>
                <w:lang w:eastAsia="zh-CN" w:bidi="ar"/>
              </w:rPr>
              <w:t>（</w:t>
            </w:r>
            <w:r>
              <w:rPr>
                <w:rFonts w:hint="eastAsia" w:ascii="宋体" w:hAnsi="宋体" w:eastAsia="宋体" w:cs="宋体"/>
                <w:color w:val="000000"/>
                <w:kern w:val="0"/>
                <w:sz w:val="20"/>
                <w:szCs w:val="20"/>
                <w:lang w:bidi="ar"/>
              </w:rPr>
              <w:t>中国</w:t>
            </w:r>
            <w:r>
              <w:rPr>
                <w:rFonts w:hint="eastAsia" w:ascii="宋体" w:hAnsi="宋体" w:eastAsia="宋体" w:cs="宋体"/>
                <w:color w:val="000000"/>
                <w:kern w:val="0"/>
                <w:sz w:val="20"/>
                <w:szCs w:val="20"/>
                <w:lang w:eastAsia="zh-CN" w:bidi="ar"/>
              </w:rPr>
              <w:t>）</w:t>
            </w:r>
            <w:r>
              <w:rPr>
                <w:rFonts w:hint="eastAsia" w:ascii="宋体" w:hAnsi="宋体" w:eastAsia="宋体" w:cs="宋体"/>
                <w:color w:val="000000"/>
                <w:kern w:val="0"/>
                <w:sz w:val="20"/>
                <w:szCs w:val="20"/>
                <w:lang w:bidi="ar"/>
              </w:rPr>
              <w:t>投资有限公司</w:t>
            </w:r>
          </w:p>
        </w:tc>
        <w:tc>
          <w:tcPr>
            <w:tcW w:w="1026" w:type="dxa"/>
            <w:shd w:val="clear" w:color="auto" w:fill="auto"/>
            <w:tcMar>
              <w:top w:w="12" w:type="dxa"/>
              <w:left w:w="12" w:type="dxa"/>
              <w:right w:w="12" w:type="dxa"/>
            </w:tcMar>
            <w:vAlign w:val="center"/>
          </w:tcPr>
          <w:p>
            <w:pPr>
              <w:widowControl/>
              <w:jc w:val="center"/>
              <w:textAlignment w:val="center"/>
              <w:rPr>
                <w:rFonts w:ascii="华文楷体" w:hAnsi="华文楷体" w:eastAsia="华文楷体" w:cs="华文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39" w:hRule="atLeast"/>
        </w:trPr>
        <w:tc>
          <w:tcPr>
            <w:tcW w:w="434" w:type="dxa"/>
            <w:vMerge w:val="continue"/>
            <w:shd w:val="clear" w:color="auto" w:fill="auto"/>
            <w:tcMar>
              <w:top w:w="12" w:type="dxa"/>
              <w:left w:w="12" w:type="dxa"/>
              <w:right w:w="12" w:type="dxa"/>
            </w:tcMar>
            <w:vAlign w:val="center"/>
          </w:tcPr>
          <w:p>
            <w:pPr>
              <w:jc w:val="center"/>
              <w:rPr>
                <w:rFonts w:ascii="华文楷体" w:hAnsi="华文楷体" w:eastAsia="华文楷体" w:cs="华文楷体"/>
                <w:sz w:val="28"/>
                <w:szCs w:val="28"/>
              </w:rPr>
            </w:pPr>
          </w:p>
        </w:tc>
        <w:tc>
          <w:tcPr>
            <w:tcW w:w="1219" w:type="dxa"/>
            <w:vMerge w:val="continue"/>
            <w:shd w:val="clear" w:color="auto" w:fill="auto"/>
            <w:tcMar>
              <w:top w:w="12" w:type="dxa"/>
              <w:left w:w="12" w:type="dxa"/>
              <w:right w:w="12" w:type="dxa"/>
            </w:tcMar>
            <w:vAlign w:val="center"/>
          </w:tcPr>
          <w:p>
            <w:pPr>
              <w:jc w:val="center"/>
              <w:rPr>
                <w:rFonts w:ascii="华文楷体" w:hAnsi="华文楷体" w:eastAsia="华文楷体" w:cs="华文楷体"/>
                <w:color w:val="000000" w:themeColor="text1"/>
                <w:kern w:val="0"/>
                <w:sz w:val="28"/>
                <w:szCs w:val="28"/>
                <w:lang w:bidi="ar"/>
                <w14:textFill>
                  <w14:solidFill>
                    <w14:schemeClr w14:val="tx1"/>
                  </w14:solidFill>
                </w14:textFill>
              </w:rPr>
            </w:pPr>
          </w:p>
        </w:tc>
        <w:tc>
          <w:tcPr>
            <w:tcW w:w="2067" w:type="dxa"/>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汉高</w:t>
            </w:r>
          </w:p>
        </w:tc>
        <w:tc>
          <w:tcPr>
            <w:tcW w:w="4700" w:type="dxa"/>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汉高股份有限及两合公司</w:t>
            </w:r>
          </w:p>
        </w:tc>
        <w:tc>
          <w:tcPr>
            <w:tcW w:w="1026" w:type="dxa"/>
            <w:shd w:val="clear" w:color="auto" w:fill="auto"/>
            <w:tcMar>
              <w:top w:w="12" w:type="dxa"/>
              <w:left w:w="12" w:type="dxa"/>
              <w:right w:w="12" w:type="dxa"/>
            </w:tcMar>
            <w:vAlign w:val="center"/>
          </w:tcPr>
          <w:p>
            <w:pPr>
              <w:widowControl/>
              <w:jc w:val="center"/>
              <w:textAlignment w:val="center"/>
              <w:rPr>
                <w:rFonts w:ascii="华文楷体" w:hAnsi="华文楷体" w:eastAsia="华文楷体" w:cs="华文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9" w:hRule="atLeast"/>
        </w:trPr>
        <w:tc>
          <w:tcPr>
            <w:tcW w:w="434" w:type="dxa"/>
            <w:vMerge w:val="continue"/>
            <w:shd w:val="clear" w:color="auto" w:fill="auto"/>
            <w:tcMar>
              <w:top w:w="12" w:type="dxa"/>
              <w:left w:w="12" w:type="dxa"/>
              <w:right w:w="12" w:type="dxa"/>
            </w:tcMar>
            <w:vAlign w:val="center"/>
          </w:tcPr>
          <w:p>
            <w:pPr>
              <w:jc w:val="center"/>
              <w:rPr>
                <w:rFonts w:ascii="华文楷体" w:hAnsi="华文楷体" w:eastAsia="华文楷体" w:cs="华文楷体"/>
                <w:sz w:val="28"/>
                <w:szCs w:val="28"/>
              </w:rPr>
            </w:pPr>
          </w:p>
        </w:tc>
        <w:tc>
          <w:tcPr>
            <w:tcW w:w="1219" w:type="dxa"/>
            <w:vMerge w:val="continue"/>
            <w:shd w:val="clear" w:color="auto" w:fill="auto"/>
            <w:tcMar>
              <w:top w:w="12" w:type="dxa"/>
              <w:left w:w="12" w:type="dxa"/>
              <w:right w:w="12" w:type="dxa"/>
            </w:tcMar>
            <w:vAlign w:val="center"/>
          </w:tcPr>
          <w:p>
            <w:pPr>
              <w:jc w:val="center"/>
              <w:rPr>
                <w:rFonts w:ascii="华文楷体" w:hAnsi="华文楷体" w:eastAsia="华文楷体" w:cs="华文楷体"/>
                <w:color w:val="000000" w:themeColor="text1"/>
                <w:kern w:val="0"/>
                <w:sz w:val="28"/>
                <w:szCs w:val="28"/>
                <w:lang w:bidi="ar"/>
                <w14:textFill>
                  <w14:solidFill>
                    <w14:schemeClr w14:val="tx1"/>
                  </w14:solidFill>
                </w14:textFill>
              </w:rPr>
            </w:pPr>
          </w:p>
        </w:tc>
        <w:tc>
          <w:tcPr>
            <w:tcW w:w="2067" w:type="dxa"/>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3M</w:t>
            </w:r>
          </w:p>
        </w:tc>
        <w:tc>
          <w:tcPr>
            <w:tcW w:w="4700" w:type="dxa"/>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3M中国有限公司</w:t>
            </w:r>
          </w:p>
        </w:tc>
        <w:tc>
          <w:tcPr>
            <w:tcW w:w="1026" w:type="dxa"/>
            <w:shd w:val="clear" w:color="auto" w:fill="auto"/>
            <w:tcMar>
              <w:top w:w="12" w:type="dxa"/>
              <w:left w:w="12" w:type="dxa"/>
              <w:right w:w="12" w:type="dxa"/>
            </w:tcMar>
            <w:vAlign w:val="center"/>
          </w:tcPr>
          <w:p>
            <w:pPr>
              <w:widowControl/>
              <w:jc w:val="center"/>
              <w:textAlignment w:val="center"/>
              <w:rPr>
                <w:rFonts w:ascii="华文楷体" w:hAnsi="华文楷体" w:eastAsia="华文楷体" w:cs="华文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9" w:hRule="atLeast"/>
        </w:trPr>
        <w:tc>
          <w:tcPr>
            <w:tcW w:w="434" w:type="dxa"/>
            <w:vMerge w:val="continue"/>
            <w:shd w:val="clear" w:color="auto" w:fill="auto"/>
            <w:tcMar>
              <w:top w:w="12" w:type="dxa"/>
              <w:left w:w="12" w:type="dxa"/>
              <w:right w:w="12" w:type="dxa"/>
            </w:tcMar>
            <w:vAlign w:val="center"/>
          </w:tcPr>
          <w:p>
            <w:pPr>
              <w:jc w:val="center"/>
              <w:rPr>
                <w:rFonts w:ascii="华文楷体" w:hAnsi="华文楷体" w:eastAsia="华文楷体" w:cs="华文楷体"/>
                <w:sz w:val="28"/>
                <w:szCs w:val="28"/>
              </w:rPr>
            </w:pPr>
          </w:p>
        </w:tc>
        <w:tc>
          <w:tcPr>
            <w:tcW w:w="1219" w:type="dxa"/>
            <w:vMerge w:val="continue"/>
            <w:shd w:val="clear" w:color="auto" w:fill="auto"/>
            <w:tcMar>
              <w:top w:w="12" w:type="dxa"/>
              <w:left w:w="12" w:type="dxa"/>
              <w:right w:w="12" w:type="dxa"/>
            </w:tcMar>
            <w:vAlign w:val="center"/>
          </w:tcPr>
          <w:p>
            <w:pPr>
              <w:jc w:val="center"/>
              <w:rPr>
                <w:rFonts w:ascii="华文楷体" w:hAnsi="华文楷体" w:eastAsia="华文楷体" w:cs="华文楷体"/>
                <w:color w:val="000000" w:themeColor="text1"/>
                <w:kern w:val="0"/>
                <w:sz w:val="28"/>
                <w:szCs w:val="28"/>
                <w:lang w:bidi="ar"/>
                <w14:textFill>
                  <w14:solidFill>
                    <w14:schemeClr w14:val="tx1"/>
                  </w14:solidFill>
                </w14:textFill>
              </w:rPr>
            </w:pPr>
          </w:p>
        </w:tc>
        <w:tc>
          <w:tcPr>
            <w:tcW w:w="2067" w:type="dxa"/>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KÖMMERLING</w:t>
            </w:r>
          </w:p>
        </w:tc>
        <w:tc>
          <w:tcPr>
            <w:tcW w:w="4700" w:type="dxa"/>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科梅林(南京) 新材料有限公司</w:t>
            </w:r>
          </w:p>
        </w:tc>
        <w:tc>
          <w:tcPr>
            <w:tcW w:w="1026" w:type="dxa"/>
            <w:shd w:val="clear" w:color="auto" w:fill="auto"/>
            <w:tcMar>
              <w:top w:w="12" w:type="dxa"/>
              <w:left w:w="12" w:type="dxa"/>
              <w:right w:w="12" w:type="dxa"/>
            </w:tcMar>
            <w:vAlign w:val="center"/>
          </w:tcPr>
          <w:p>
            <w:pPr>
              <w:widowControl/>
              <w:jc w:val="center"/>
              <w:textAlignment w:val="center"/>
              <w:rPr>
                <w:rFonts w:ascii="华文楷体" w:hAnsi="华文楷体" w:eastAsia="华文楷体" w:cs="华文楷体"/>
                <w:sz w:val="28"/>
                <w:szCs w:val="28"/>
              </w:rPr>
            </w:pPr>
          </w:p>
        </w:tc>
      </w:tr>
    </w:tbl>
    <w:p>
      <w:pPr>
        <w:spacing w:line="360" w:lineRule="auto"/>
        <w:rPr>
          <w:rFonts w:ascii="华文楷体" w:hAnsi="华文楷体" w:eastAsia="华文楷体" w:cs="华文楷体"/>
          <w:sz w:val="28"/>
          <w:szCs w:val="28"/>
        </w:rPr>
      </w:pPr>
    </w:p>
    <w:p>
      <w:pPr>
        <w:spacing w:line="360" w:lineRule="auto"/>
        <w:ind w:firstLine="560" w:firstLineChars="200"/>
        <w:rPr>
          <w:rFonts w:ascii="华文楷体" w:hAnsi="华文楷体" w:eastAsia="华文楷体" w:cs="华文楷体"/>
          <w:sz w:val="28"/>
          <w:szCs w:val="28"/>
        </w:rPr>
      </w:pPr>
      <w:r>
        <w:rPr>
          <w:rFonts w:hint="eastAsia" w:ascii="华文楷体" w:hAnsi="华文楷体" w:eastAsia="华文楷体" w:cs="华文楷体"/>
          <w:sz w:val="28"/>
          <w:szCs w:val="28"/>
        </w:rPr>
        <w:t>2、主要材料技术标准和质量要求如下：</w:t>
      </w:r>
    </w:p>
    <w:p>
      <w:pPr>
        <w:spacing w:line="360" w:lineRule="auto"/>
        <w:ind w:firstLine="560" w:firstLineChars="200"/>
        <w:rPr>
          <w:rFonts w:ascii="华文楷体" w:hAnsi="华文楷体" w:eastAsia="华文楷体" w:cs="华文楷体"/>
          <w:sz w:val="28"/>
          <w:szCs w:val="28"/>
        </w:rPr>
      </w:pPr>
      <w:r>
        <w:rPr>
          <w:rFonts w:hint="eastAsia" w:ascii="华文楷体" w:hAnsi="华文楷体" w:eastAsia="华文楷体" w:cs="华文楷体"/>
          <w:sz w:val="28"/>
          <w:szCs w:val="28"/>
        </w:rPr>
        <w:t>本技术条件是最低限度的技术要求，并未对一切技术细节作出规定，也未充分引述有关标准和规范的条文，投标人应保证提供符合本技术条件和有关最新标准的优质产品。如所述技术要求低于上述标准和规范的要求，则按标准和规范的要求执行；如高于标准和规范的要求，则按本条款要求执行。若提供的技术文件中所列的规范、标准停用或废止，则以相应的最新版本为准。</w:t>
      </w:r>
    </w:p>
    <w:p>
      <w:pPr>
        <w:numPr>
          <w:ilvl w:val="0"/>
          <w:numId w:val="2"/>
        </w:numPr>
        <w:spacing w:line="360" w:lineRule="auto"/>
        <w:ind w:firstLine="560" w:firstLineChars="200"/>
        <w:rPr>
          <w:rFonts w:ascii="华文楷体" w:hAnsi="华文楷体" w:eastAsia="华文楷体" w:cs="华文楷体"/>
          <w:color w:val="FF0000"/>
          <w:sz w:val="28"/>
          <w:szCs w:val="28"/>
        </w:rPr>
      </w:pPr>
      <w:r>
        <w:rPr>
          <w:rFonts w:hint="eastAsia" w:ascii="华文楷体" w:hAnsi="华文楷体" w:eastAsia="华文楷体" w:cs="华文楷体"/>
          <w:sz w:val="28"/>
          <w:szCs w:val="28"/>
        </w:rPr>
        <w:t>招标人自行采购的主要材料设备</w:t>
      </w:r>
      <w:r>
        <w:rPr>
          <w:rFonts w:hint="eastAsia" w:ascii="华文楷体" w:hAnsi="华文楷体" w:eastAsia="华文楷体" w:cs="华文楷体"/>
          <w:color w:val="000000" w:themeColor="text1"/>
          <w:sz w:val="28"/>
          <w:szCs w:val="28"/>
          <w14:textFill>
            <w14:solidFill>
              <w14:schemeClr w14:val="tx1"/>
            </w14:solidFill>
          </w14:textFill>
        </w:rPr>
        <w:t>：</w:t>
      </w:r>
      <w:r>
        <w:rPr>
          <w:rFonts w:hint="eastAsia" w:ascii="华文楷体" w:hAnsi="华文楷体" w:eastAsia="华文楷体" w:cs="华文楷体"/>
          <w:sz w:val="28"/>
          <w:szCs w:val="28"/>
        </w:rPr>
        <w:t>无。</w:t>
      </w:r>
    </w:p>
    <w:p>
      <w:pPr>
        <w:spacing w:line="360" w:lineRule="auto"/>
        <w:rPr>
          <w:rFonts w:ascii="华文楷体" w:hAnsi="华文楷体" w:eastAsia="华文楷体" w:cs="华文楷体"/>
          <w:b/>
          <w:bCs/>
          <w:sz w:val="28"/>
          <w:szCs w:val="28"/>
        </w:rPr>
      </w:pPr>
      <w:r>
        <w:rPr>
          <w:rFonts w:hint="eastAsia" w:ascii="华文楷体" w:hAnsi="华文楷体" w:eastAsia="华文楷体" w:cs="华文楷体"/>
          <w:b/>
          <w:bCs/>
          <w:sz w:val="28"/>
          <w:szCs w:val="28"/>
        </w:rPr>
        <w:t>六、其他说明</w:t>
      </w:r>
    </w:p>
    <w:p>
      <w:pPr>
        <w:spacing w:line="360" w:lineRule="auto"/>
        <w:ind w:firstLine="560" w:firstLineChars="200"/>
        <w:rPr>
          <w:rFonts w:ascii="华文楷体" w:hAnsi="华文楷体" w:eastAsia="华文楷体" w:cs="华文楷体"/>
          <w:color w:val="FF0000"/>
          <w:sz w:val="28"/>
          <w:szCs w:val="28"/>
        </w:rPr>
      </w:pPr>
      <w:r>
        <w:rPr>
          <w:rFonts w:hint="eastAsia" w:ascii="华文楷体" w:hAnsi="华文楷体" w:eastAsia="华文楷体" w:cs="华文楷体"/>
          <w:sz w:val="28"/>
          <w:szCs w:val="28"/>
        </w:rPr>
        <w:t>1、投标人应在认真理解和熟悉招标文件，经现场踏勘后，综合考虑清单中各分部分项工程包括管理费、利润、风险费、规费、税金等全部费用清单报价，无论清单特征中是否描述，投标人综合单价均应包含完成本清单项目所有工作内容的费用。</w:t>
      </w:r>
    </w:p>
    <w:p>
      <w:pPr>
        <w:spacing w:line="360" w:lineRule="auto"/>
        <w:ind w:firstLine="560" w:firstLineChars="200"/>
        <w:rPr>
          <w:rFonts w:ascii="华文楷体" w:hAnsi="华文楷体" w:eastAsia="华文楷体" w:cs="华文楷体"/>
          <w:sz w:val="28"/>
          <w:szCs w:val="28"/>
        </w:rPr>
      </w:pPr>
      <w:r>
        <w:rPr>
          <w:rFonts w:hint="eastAsia" w:ascii="华文楷体" w:hAnsi="华文楷体" w:eastAsia="华文楷体" w:cs="华文楷体"/>
          <w:sz w:val="28"/>
          <w:szCs w:val="28"/>
        </w:rPr>
        <w:t>2、各投标人在进行综合报价时必须结合招标文件中的相关条款及清单描述进行报价，清单子目中未能对各节点进行完全性描述的必须结合实际情况详细节点进行报价，否则视为已计入相应项目综合单价内，中标后将不调整综合单价。若招标文件中相关条款及清单描述有冲突的，投标人应在“澄清答疑”环节中向招标人提出，招标人将在“澄清答疑”环节中答复；投标人未在“澄清答疑”环节提出的，则最终解释权归属于招标人。</w:t>
      </w:r>
    </w:p>
    <w:sectPr>
      <w:pgSz w:w="11906" w:h="16838"/>
      <w:pgMar w:top="1440" w:right="1286" w:bottom="1440" w:left="13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Cambria">
    <w:panose1 w:val="02040503050406030204"/>
    <w:charset w:val="00"/>
    <w:family w:val="roman"/>
    <w:pitch w:val="default"/>
    <w:sig w:usb0="E00006FF" w:usb1="420024FF" w:usb2="02000000" w:usb3="00000000" w:csb0="2000019F" w:csb1="00000000"/>
  </w:font>
  <w:font w:name="新宋体">
    <w:panose1 w:val="02010609030101010101"/>
    <w:charset w:val="86"/>
    <w:family w:val="modern"/>
    <w:pitch w:val="default"/>
    <w:sig w:usb0="00000283" w:usb1="288F0000" w:usb2="00000006" w:usb3="00000000" w:csb0="00040001" w:csb1="00000000"/>
  </w:font>
  <w:font w:name="华文楷体">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7386A48"/>
    <w:multiLevelType w:val="singleLevel"/>
    <w:tmpl w:val="C7386A48"/>
    <w:lvl w:ilvl="0" w:tentative="0">
      <w:start w:val="1"/>
      <w:numFmt w:val="chineseCounting"/>
      <w:suff w:val="nothing"/>
      <w:lvlText w:val="%1、"/>
      <w:lvlJc w:val="left"/>
      <w:rPr>
        <w:rFonts w:hint="eastAsia"/>
      </w:rPr>
    </w:lvl>
  </w:abstractNum>
  <w:abstractNum w:abstractNumId="1">
    <w:nsid w:val="2AEB87CD"/>
    <w:multiLevelType w:val="singleLevel"/>
    <w:tmpl w:val="2AEB87CD"/>
    <w:lvl w:ilvl="0" w:tentative="0">
      <w:start w:val="2"/>
      <w:numFmt w:val="chineseCounting"/>
      <w:suff w:val="nothing"/>
      <w:lvlText w:val="（%1）"/>
      <w:lvlJc w:val="left"/>
      <w:rPr>
        <w:rFonts w:hint="eastAsia"/>
        <w:color w:val="auto"/>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A1NzAxNmNlNGRhOGRkYTc3ZjM4OWZhYjZhMzIzMzIifQ=="/>
  </w:docVars>
  <w:rsids>
    <w:rsidRoot w:val="00E80598"/>
    <w:rsid w:val="00003B10"/>
    <w:rsid w:val="00070CA5"/>
    <w:rsid w:val="0008481C"/>
    <w:rsid w:val="000878B4"/>
    <w:rsid w:val="00094F0E"/>
    <w:rsid w:val="000C5F5E"/>
    <w:rsid w:val="00130701"/>
    <w:rsid w:val="001D3A5E"/>
    <w:rsid w:val="001F5DF7"/>
    <w:rsid w:val="00204723"/>
    <w:rsid w:val="00224361"/>
    <w:rsid w:val="00350785"/>
    <w:rsid w:val="003C551D"/>
    <w:rsid w:val="003D4DFA"/>
    <w:rsid w:val="0041308F"/>
    <w:rsid w:val="00425A5D"/>
    <w:rsid w:val="00457557"/>
    <w:rsid w:val="00462E4D"/>
    <w:rsid w:val="004A69EC"/>
    <w:rsid w:val="004C3E75"/>
    <w:rsid w:val="004E1038"/>
    <w:rsid w:val="005453BC"/>
    <w:rsid w:val="005733F8"/>
    <w:rsid w:val="00587E4B"/>
    <w:rsid w:val="005C7A6B"/>
    <w:rsid w:val="005E3FDB"/>
    <w:rsid w:val="006035F5"/>
    <w:rsid w:val="006252DA"/>
    <w:rsid w:val="006A6281"/>
    <w:rsid w:val="006D6139"/>
    <w:rsid w:val="006E0A43"/>
    <w:rsid w:val="006F1DF0"/>
    <w:rsid w:val="00716093"/>
    <w:rsid w:val="00770FE5"/>
    <w:rsid w:val="00777DEA"/>
    <w:rsid w:val="00784A79"/>
    <w:rsid w:val="00792C2E"/>
    <w:rsid w:val="007E7818"/>
    <w:rsid w:val="007F7C1D"/>
    <w:rsid w:val="00847CE5"/>
    <w:rsid w:val="00850ECA"/>
    <w:rsid w:val="00855A30"/>
    <w:rsid w:val="008964D1"/>
    <w:rsid w:val="009220B0"/>
    <w:rsid w:val="009C2E62"/>
    <w:rsid w:val="009F7256"/>
    <w:rsid w:val="00A36EEF"/>
    <w:rsid w:val="00A63FC9"/>
    <w:rsid w:val="00AB037F"/>
    <w:rsid w:val="00AB5606"/>
    <w:rsid w:val="00AC1EED"/>
    <w:rsid w:val="00AF6A71"/>
    <w:rsid w:val="00B276BE"/>
    <w:rsid w:val="00B276F7"/>
    <w:rsid w:val="00B45773"/>
    <w:rsid w:val="00B46074"/>
    <w:rsid w:val="00C24412"/>
    <w:rsid w:val="00C30855"/>
    <w:rsid w:val="00C34BCE"/>
    <w:rsid w:val="00C36851"/>
    <w:rsid w:val="00C9616D"/>
    <w:rsid w:val="00CA1596"/>
    <w:rsid w:val="00CB729C"/>
    <w:rsid w:val="00CF11B3"/>
    <w:rsid w:val="00D53389"/>
    <w:rsid w:val="00E03455"/>
    <w:rsid w:val="00E80598"/>
    <w:rsid w:val="00E924B2"/>
    <w:rsid w:val="00EC599D"/>
    <w:rsid w:val="00ED2F94"/>
    <w:rsid w:val="00EE3AC7"/>
    <w:rsid w:val="00F106A9"/>
    <w:rsid w:val="00F35A42"/>
    <w:rsid w:val="00F637EC"/>
    <w:rsid w:val="00F86DE8"/>
    <w:rsid w:val="00FB6452"/>
    <w:rsid w:val="00FD2FBA"/>
    <w:rsid w:val="026423BC"/>
    <w:rsid w:val="05637CE9"/>
    <w:rsid w:val="067B4082"/>
    <w:rsid w:val="0840065C"/>
    <w:rsid w:val="0AA00FFF"/>
    <w:rsid w:val="0CC139CA"/>
    <w:rsid w:val="0D071482"/>
    <w:rsid w:val="0E475701"/>
    <w:rsid w:val="0E7618A5"/>
    <w:rsid w:val="0E8C230D"/>
    <w:rsid w:val="0F424FA5"/>
    <w:rsid w:val="10291D80"/>
    <w:rsid w:val="12A83E03"/>
    <w:rsid w:val="13D97736"/>
    <w:rsid w:val="15803988"/>
    <w:rsid w:val="15AE466B"/>
    <w:rsid w:val="16CB38CE"/>
    <w:rsid w:val="16CC55E9"/>
    <w:rsid w:val="17CA0378"/>
    <w:rsid w:val="17E83B2A"/>
    <w:rsid w:val="1837402C"/>
    <w:rsid w:val="196827CF"/>
    <w:rsid w:val="1F6E3E30"/>
    <w:rsid w:val="21471BCB"/>
    <w:rsid w:val="21533141"/>
    <w:rsid w:val="22715C4D"/>
    <w:rsid w:val="22D80382"/>
    <w:rsid w:val="22F333EF"/>
    <w:rsid w:val="23656FC3"/>
    <w:rsid w:val="247875FE"/>
    <w:rsid w:val="24AC52B0"/>
    <w:rsid w:val="255F78C7"/>
    <w:rsid w:val="25F04FD6"/>
    <w:rsid w:val="271E423C"/>
    <w:rsid w:val="2AD07367"/>
    <w:rsid w:val="2BD22118"/>
    <w:rsid w:val="2E975217"/>
    <w:rsid w:val="2F204FF5"/>
    <w:rsid w:val="2F610132"/>
    <w:rsid w:val="323F78FA"/>
    <w:rsid w:val="32CC7242"/>
    <w:rsid w:val="33F322A9"/>
    <w:rsid w:val="342045EA"/>
    <w:rsid w:val="36D80B92"/>
    <w:rsid w:val="38DC5E86"/>
    <w:rsid w:val="398B73E2"/>
    <w:rsid w:val="39BA7CC0"/>
    <w:rsid w:val="3B1D4A86"/>
    <w:rsid w:val="3F8255AA"/>
    <w:rsid w:val="40660CAA"/>
    <w:rsid w:val="40B24332"/>
    <w:rsid w:val="414738E4"/>
    <w:rsid w:val="432A3E3A"/>
    <w:rsid w:val="455D3D20"/>
    <w:rsid w:val="45A03D5F"/>
    <w:rsid w:val="46E65562"/>
    <w:rsid w:val="475D3B01"/>
    <w:rsid w:val="49B36D66"/>
    <w:rsid w:val="4A3939CF"/>
    <w:rsid w:val="4A60261A"/>
    <w:rsid w:val="4B5A580A"/>
    <w:rsid w:val="4CD23CFB"/>
    <w:rsid w:val="4DF950F2"/>
    <w:rsid w:val="4E5C5B33"/>
    <w:rsid w:val="4E86208F"/>
    <w:rsid w:val="4FC55C1D"/>
    <w:rsid w:val="514F6512"/>
    <w:rsid w:val="54341495"/>
    <w:rsid w:val="54FF3FE7"/>
    <w:rsid w:val="563F1955"/>
    <w:rsid w:val="5785783C"/>
    <w:rsid w:val="584A1BD1"/>
    <w:rsid w:val="5B775DA6"/>
    <w:rsid w:val="5BCE5477"/>
    <w:rsid w:val="5E880ED9"/>
    <w:rsid w:val="5FD830C4"/>
    <w:rsid w:val="607139DB"/>
    <w:rsid w:val="6138082C"/>
    <w:rsid w:val="61DC6F7F"/>
    <w:rsid w:val="63AA2810"/>
    <w:rsid w:val="63B130AC"/>
    <w:rsid w:val="6417362C"/>
    <w:rsid w:val="64BC6497"/>
    <w:rsid w:val="64F4340D"/>
    <w:rsid w:val="6ABA2C10"/>
    <w:rsid w:val="6B6E1032"/>
    <w:rsid w:val="6B712C83"/>
    <w:rsid w:val="6C766FB1"/>
    <w:rsid w:val="6DA72690"/>
    <w:rsid w:val="6DAE46FA"/>
    <w:rsid w:val="6FA554C1"/>
    <w:rsid w:val="706A75F7"/>
    <w:rsid w:val="7281066B"/>
    <w:rsid w:val="72CC1AE5"/>
    <w:rsid w:val="73B70FED"/>
    <w:rsid w:val="75447191"/>
    <w:rsid w:val="79416F7E"/>
    <w:rsid w:val="7BD91F35"/>
    <w:rsid w:val="7CE77619"/>
    <w:rsid w:val="7DA24E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iPriority="99" w:name="Normal Indent"/>
    <w:lsdException w:uiPriority="99"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qFormat="1" w:unhideWhenUsed="0" w:uiPriority="0" w:semiHidden="0"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0"/>
    <w:qFormat/>
    <w:uiPriority w:val="99"/>
    <w:pPr>
      <w:keepNext/>
      <w:keepLines/>
      <w:snapToGrid w:val="0"/>
      <w:spacing w:before="60" w:after="60"/>
      <w:ind w:right="-11"/>
      <w:jc w:val="center"/>
      <w:outlineLvl w:val="0"/>
    </w:pPr>
    <w:rPr>
      <w:rFonts w:ascii="Times New Roman" w:hAnsi="Times New Roman" w:eastAsia="宋体" w:cs="Times New Roman"/>
      <w:b/>
      <w:kern w:val="44"/>
      <w:sz w:val="36"/>
      <w:szCs w:val="36"/>
    </w:rPr>
  </w:style>
  <w:style w:type="paragraph" w:styleId="3">
    <w:name w:val="heading 2"/>
    <w:basedOn w:val="1"/>
    <w:next w:val="4"/>
    <w:link w:val="31"/>
    <w:qFormat/>
    <w:uiPriority w:val="9"/>
    <w:pPr>
      <w:keepNext/>
      <w:keepLines/>
      <w:adjustRightInd w:val="0"/>
      <w:snapToGrid w:val="0"/>
      <w:spacing w:before="240" w:after="240"/>
      <w:ind w:right="-11"/>
      <w:jc w:val="center"/>
      <w:outlineLvl w:val="1"/>
    </w:pPr>
    <w:rPr>
      <w:rFonts w:ascii="Arial" w:hAnsi="Arial" w:eastAsia="宋体" w:cs="Times New Roman"/>
      <w:b/>
      <w:sz w:val="32"/>
      <w:szCs w:val="20"/>
    </w:rPr>
  </w:style>
  <w:style w:type="paragraph" w:styleId="5">
    <w:name w:val="heading 3"/>
    <w:basedOn w:val="1"/>
    <w:next w:val="4"/>
    <w:link w:val="32"/>
    <w:qFormat/>
    <w:uiPriority w:val="9"/>
    <w:pPr>
      <w:keepNext/>
      <w:keepLines/>
      <w:adjustRightInd w:val="0"/>
      <w:snapToGrid w:val="0"/>
      <w:spacing w:before="240" w:after="240"/>
      <w:ind w:right="-11" w:firstLine="200" w:firstLineChars="200"/>
      <w:outlineLvl w:val="2"/>
    </w:pPr>
    <w:rPr>
      <w:rFonts w:ascii="宋体"/>
      <w:b/>
      <w:sz w:val="24"/>
    </w:r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4">
    <w:name w:val="Normal Indent"/>
    <w:basedOn w:val="1"/>
    <w:semiHidden/>
    <w:unhideWhenUsed/>
    <w:qFormat/>
    <w:uiPriority w:val="99"/>
    <w:pPr>
      <w:ind w:right="-11" w:firstLine="420" w:firstLineChars="200"/>
    </w:pPr>
  </w:style>
  <w:style w:type="paragraph" w:styleId="6">
    <w:name w:val="toc 7"/>
    <w:basedOn w:val="1"/>
    <w:next w:val="1"/>
    <w:unhideWhenUsed/>
    <w:qFormat/>
    <w:uiPriority w:val="39"/>
    <w:pPr>
      <w:ind w:left="2520" w:leftChars="1200"/>
    </w:pPr>
  </w:style>
  <w:style w:type="paragraph" w:styleId="7">
    <w:name w:val="annotation text"/>
    <w:basedOn w:val="1"/>
    <w:link w:val="48"/>
    <w:qFormat/>
    <w:uiPriority w:val="0"/>
    <w:pPr>
      <w:jc w:val="left"/>
    </w:pPr>
    <w:rPr>
      <w:rFonts w:ascii="Times New Roman" w:hAnsi="Times New Roman" w:eastAsia="宋体" w:cs="Times New Roman"/>
      <w:szCs w:val="24"/>
    </w:rPr>
  </w:style>
  <w:style w:type="paragraph" w:styleId="8">
    <w:name w:val="Body Text 3"/>
    <w:basedOn w:val="1"/>
    <w:link w:val="40"/>
    <w:qFormat/>
    <w:uiPriority w:val="0"/>
    <w:rPr>
      <w:rFonts w:ascii="宋体" w:eastAsia="宋体"/>
      <w:sz w:val="24"/>
    </w:rPr>
  </w:style>
  <w:style w:type="paragraph" w:styleId="9">
    <w:name w:val="Body Text"/>
    <w:basedOn w:val="1"/>
    <w:link w:val="44"/>
    <w:qFormat/>
    <w:uiPriority w:val="0"/>
    <w:pPr>
      <w:spacing w:after="120" w:line="360" w:lineRule="auto"/>
    </w:pPr>
    <w:rPr>
      <w:rFonts w:ascii="Times New Roman" w:hAnsi="Times New Roman" w:eastAsia="宋体" w:cs="Times New Roman"/>
      <w:szCs w:val="20"/>
    </w:rPr>
  </w:style>
  <w:style w:type="paragraph" w:styleId="10">
    <w:name w:val="toc 5"/>
    <w:basedOn w:val="1"/>
    <w:next w:val="1"/>
    <w:unhideWhenUsed/>
    <w:qFormat/>
    <w:uiPriority w:val="39"/>
    <w:pPr>
      <w:ind w:left="1680" w:leftChars="800"/>
    </w:pPr>
  </w:style>
  <w:style w:type="paragraph" w:styleId="11">
    <w:name w:val="toc 3"/>
    <w:basedOn w:val="1"/>
    <w:next w:val="1"/>
    <w:unhideWhenUsed/>
    <w:qFormat/>
    <w:uiPriority w:val="39"/>
    <w:pPr>
      <w:ind w:left="840" w:leftChars="400" w:right="-11"/>
    </w:pPr>
  </w:style>
  <w:style w:type="paragraph" w:styleId="12">
    <w:name w:val="toc 8"/>
    <w:basedOn w:val="1"/>
    <w:next w:val="1"/>
    <w:unhideWhenUsed/>
    <w:qFormat/>
    <w:uiPriority w:val="39"/>
    <w:pPr>
      <w:ind w:left="2940" w:leftChars="1400"/>
    </w:pPr>
  </w:style>
  <w:style w:type="paragraph" w:styleId="13">
    <w:name w:val="Balloon Text"/>
    <w:basedOn w:val="1"/>
    <w:link w:val="47"/>
    <w:qFormat/>
    <w:uiPriority w:val="99"/>
    <w:rPr>
      <w:rFonts w:ascii="Times New Roman" w:hAnsi="Times New Roman" w:eastAsia="宋体" w:cs="Times New Roman"/>
      <w:sz w:val="18"/>
      <w:szCs w:val="18"/>
    </w:rPr>
  </w:style>
  <w:style w:type="paragraph" w:styleId="14">
    <w:name w:val="footer"/>
    <w:basedOn w:val="1"/>
    <w:link w:val="45"/>
    <w:qFormat/>
    <w:uiPriority w:val="99"/>
    <w:pPr>
      <w:widowControl/>
      <w:tabs>
        <w:tab w:val="center" w:pos="4153"/>
        <w:tab w:val="right" w:pos="8306"/>
      </w:tabs>
      <w:snapToGrid w:val="0"/>
      <w:jc w:val="left"/>
    </w:pPr>
    <w:rPr>
      <w:rFonts w:ascii="Times New Roman" w:hAnsi="Times New Roman" w:eastAsia="宋体" w:cs="Times New Roman"/>
      <w:kern w:val="0"/>
      <w:sz w:val="18"/>
      <w:szCs w:val="18"/>
    </w:rPr>
  </w:style>
  <w:style w:type="paragraph" w:styleId="15">
    <w:name w:val="header"/>
    <w:basedOn w:val="1"/>
    <w:link w:val="46"/>
    <w:qFormat/>
    <w:uiPriority w:val="99"/>
    <w:pPr>
      <w:pBdr>
        <w:bottom w:val="single" w:color="auto" w:sz="6" w:space="1"/>
      </w:pBdr>
      <w:tabs>
        <w:tab w:val="center" w:pos="4153"/>
        <w:tab w:val="right" w:pos="8306"/>
      </w:tabs>
      <w:snapToGrid w:val="0"/>
      <w:jc w:val="center"/>
    </w:pPr>
    <w:rPr>
      <w:rFonts w:ascii="Times New Roman" w:hAnsi="Times New Roman" w:eastAsia="宋体" w:cs="Times New Roman"/>
      <w:sz w:val="18"/>
      <w:szCs w:val="18"/>
    </w:rPr>
  </w:style>
  <w:style w:type="paragraph" w:styleId="16">
    <w:name w:val="toc 1"/>
    <w:basedOn w:val="1"/>
    <w:next w:val="1"/>
    <w:qFormat/>
    <w:uiPriority w:val="39"/>
    <w:pPr>
      <w:tabs>
        <w:tab w:val="right" w:leader="dot" w:pos="9030"/>
      </w:tabs>
      <w:spacing w:line="560" w:lineRule="exact"/>
      <w:ind w:right="-11"/>
      <w:jc w:val="left"/>
    </w:pPr>
    <w:rPr>
      <w:rFonts w:ascii="宋体" w:hAnsi="宋体" w:eastAsia="宋体" w:cs="宋体"/>
      <w:b/>
      <w:bCs/>
      <w:sz w:val="30"/>
      <w:szCs w:val="30"/>
    </w:rPr>
  </w:style>
  <w:style w:type="paragraph" w:styleId="17">
    <w:name w:val="toc 4"/>
    <w:basedOn w:val="1"/>
    <w:next w:val="1"/>
    <w:unhideWhenUsed/>
    <w:qFormat/>
    <w:uiPriority w:val="39"/>
    <w:pPr>
      <w:ind w:left="1260" w:leftChars="600"/>
    </w:pPr>
  </w:style>
  <w:style w:type="paragraph" w:styleId="18">
    <w:name w:val="toc 6"/>
    <w:basedOn w:val="1"/>
    <w:next w:val="1"/>
    <w:unhideWhenUsed/>
    <w:qFormat/>
    <w:uiPriority w:val="39"/>
    <w:pPr>
      <w:ind w:left="2100" w:leftChars="1000"/>
    </w:pPr>
  </w:style>
  <w:style w:type="paragraph" w:styleId="19">
    <w:name w:val="toc 2"/>
    <w:basedOn w:val="1"/>
    <w:next w:val="1"/>
    <w:unhideWhenUsed/>
    <w:qFormat/>
    <w:uiPriority w:val="39"/>
    <w:pPr>
      <w:ind w:left="420" w:leftChars="200" w:right="-11"/>
    </w:pPr>
  </w:style>
  <w:style w:type="paragraph" w:styleId="20">
    <w:name w:val="toc 9"/>
    <w:basedOn w:val="1"/>
    <w:next w:val="1"/>
    <w:unhideWhenUsed/>
    <w:qFormat/>
    <w:uiPriority w:val="39"/>
    <w:pPr>
      <w:ind w:left="3360" w:leftChars="1600"/>
    </w:pPr>
  </w:style>
  <w:style w:type="paragraph" w:styleId="21">
    <w:name w:val="HTML Preformatted"/>
    <w:basedOn w:val="1"/>
    <w:link w:val="52"/>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pPr>
    <w:rPr>
      <w:rFonts w:ascii="Arial" w:hAnsi="Arial" w:eastAsia="宋体" w:cs="Times New Roman"/>
      <w:szCs w:val="24"/>
    </w:rPr>
  </w:style>
  <w:style w:type="paragraph" w:styleId="22">
    <w:name w:val="Normal (Web)"/>
    <w:basedOn w:val="1"/>
    <w:qFormat/>
    <w:uiPriority w:val="0"/>
    <w:pPr>
      <w:spacing w:before="100" w:beforeAutospacing="1" w:after="100" w:afterAutospacing="1"/>
      <w:jc w:val="left"/>
    </w:pPr>
    <w:rPr>
      <w:rFonts w:cs="Times New Roman"/>
      <w:kern w:val="0"/>
      <w:sz w:val="24"/>
    </w:rPr>
  </w:style>
  <w:style w:type="paragraph" w:styleId="23">
    <w:name w:val="Title"/>
    <w:basedOn w:val="1"/>
    <w:next w:val="1"/>
    <w:link w:val="33"/>
    <w:qFormat/>
    <w:uiPriority w:val="10"/>
    <w:pPr>
      <w:spacing w:before="240" w:after="60"/>
      <w:ind w:right="-11"/>
      <w:jc w:val="center"/>
      <w:outlineLvl w:val="0"/>
    </w:pPr>
    <w:rPr>
      <w:rFonts w:asciiTheme="majorHAnsi" w:hAnsiTheme="majorHAnsi" w:cstheme="majorBidi"/>
      <w:b/>
      <w:bCs/>
      <w:sz w:val="44"/>
      <w:szCs w:val="32"/>
    </w:rPr>
  </w:style>
  <w:style w:type="paragraph" w:styleId="24">
    <w:name w:val="annotation subject"/>
    <w:basedOn w:val="7"/>
    <w:next w:val="7"/>
    <w:link w:val="49"/>
    <w:qFormat/>
    <w:uiPriority w:val="0"/>
    <w:rPr>
      <w:b/>
      <w:bCs/>
    </w:rPr>
  </w:style>
  <w:style w:type="table" w:styleId="26">
    <w:name w:val="Table Grid"/>
    <w:basedOn w:val="2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Hyperlink"/>
    <w:unhideWhenUsed/>
    <w:qFormat/>
    <w:uiPriority w:val="99"/>
    <w:rPr>
      <w:color w:val="0000FF"/>
      <w:u w:val="single"/>
    </w:rPr>
  </w:style>
  <w:style w:type="character" w:styleId="29">
    <w:name w:val="annotation reference"/>
    <w:basedOn w:val="27"/>
    <w:qFormat/>
    <w:uiPriority w:val="0"/>
    <w:rPr>
      <w:sz w:val="21"/>
      <w:szCs w:val="21"/>
    </w:rPr>
  </w:style>
  <w:style w:type="character" w:customStyle="1" w:styleId="30">
    <w:name w:val="标题 1 字符"/>
    <w:basedOn w:val="27"/>
    <w:link w:val="2"/>
    <w:qFormat/>
    <w:uiPriority w:val="99"/>
    <w:rPr>
      <w:rFonts w:ascii="Times New Roman" w:hAnsi="Times New Roman" w:eastAsia="宋体" w:cs="Times New Roman"/>
      <w:b/>
      <w:kern w:val="44"/>
      <w:sz w:val="36"/>
      <w:szCs w:val="36"/>
    </w:rPr>
  </w:style>
  <w:style w:type="character" w:customStyle="1" w:styleId="31">
    <w:name w:val="标题 2 字符1"/>
    <w:basedOn w:val="27"/>
    <w:link w:val="3"/>
    <w:qFormat/>
    <w:uiPriority w:val="9"/>
    <w:rPr>
      <w:rFonts w:ascii="Arial" w:hAnsi="Arial" w:eastAsia="宋体" w:cs="Times New Roman"/>
      <w:b/>
      <w:sz w:val="32"/>
      <w:szCs w:val="20"/>
    </w:rPr>
  </w:style>
  <w:style w:type="character" w:customStyle="1" w:styleId="32">
    <w:name w:val="标题 3 字符"/>
    <w:basedOn w:val="27"/>
    <w:link w:val="5"/>
    <w:qFormat/>
    <w:uiPriority w:val="9"/>
    <w:rPr>
      <w:rFonts w:ascii="宋体"/>
      <w:b/>
      <w:sz w:val="24"/>
    </w:rPr>
  </w:style>
  <w:style w:type="character" w:customStyle="1" w:styleId="33">
    <w:name w:val="标题 字符1"/>
    <w:basedOn w:val="27"/>
    <w:link w:val="23"/>
    <w:qFormat/>
    <w:uiPriority w:val="10"/>
    <w:rPr>
      <w:rFonts w:asciiTheme="majorHAnsi" w:hAnsiTheme="majorHAnsi" w:cstheme="majorBidi"/>
      <w:b/>
      <w:bCs/>
      <w:sz w:val="44"/>
      <w:szCs w:val="32"/>
    </w:rPr>
  </w:style>
  <w:style w:type="paragraph" w:styleId="34">
    <w:name w:val="No Spacing"/>
    <w:qFormat/>
    <w:uiPriority w:val="1"/>
    <w:pPr>
      <w:widowControl w:val="0"/>
      <w:jc w:val="both"/>
    </w:pPr>
    <w:rPr>
      <w:rFonts w:ascii="Times New Roman" w:hAnsi="Times New Roman" w:eastAsia="宋体" w:cs="Times New Roman"/>
      <w:kern w:val="2"/>
      <w:sz w:val="21"/>
      <w:lang w:val="en-US" w:eastAsia="zh-CN" w:bidi="ar-SA"/>
    </w:rPr>
  </w:style>
  <w:style w:type="character" w:customStyle="1" w:styleId="35">
    <w:name w:val="标题 2 字符"/>
    <w:qFormat/>
    <w:uiPriority w:val="9"/>
    <w:rPr>
      <w:rFonts w:ascii="新宋体" w:hAnsi="新宋体" w:eastAsia="新宋体"/>
      <w:b/>
      <w:bCs/>
      <w:kern w:val="2"/>
      <w:sz w:val="32"/>
      <w:szCs w:val="32"/>
      <w:lang w:val="zh-CN"/>
    </w:rPr>
  </w:style>
  <w:style w:type="paragraph" w:customStyle="1" w:styleId="36">
    <w:name w:val="样式 标题 3 + (中文) 黑体 小四 非加粗 段前: 7.8 磅 段后: 0 磅 行距: 固定值 20 磅"/>
    <w:basedOn w:val="5"/>
    <w:qFormat/>
    <w:uiPriority w:val="0"/>
    <w:pPr>
      <w:adjustRightInd/>
      <w:snapToGrid/>
      <w:spacing w:before="0" w:after="0" w:line="400" w:lineRule="exact"/>
      <w:ind w:right="0" w:firstLine="0" w:firstLineChars="0"/>
    </w:pPr>
    <w:rPr>
      <w:rFonts w:ascii="Times New Roman" w:hAnsi="Times New Roman" w:eastAsia="黑体" w:cs="Times New Roman"/>
      <w:b w:val="0"/>
      <w:szCs w:val="20"/>
    </w:rPr>
  </w:style>
  <w:style w:type="character" w:customStyle="1" w:styleId="37">
    <w:name w:val="标题 字符"/>
    <w:qFormat/>
    <w:uiPriority w:val="10"/>
    <w:rPr>
      <w:rFonts w:ascii="Cambria" w:hAnsi="Cambria" w:cs="Times New Roman"/>
      <w:b/>
      <w:bCs/>
      <w:kern w:val="2"/>
      <w:sz w:val="32"/>
      <w:szCs w:val="32"/>
    </w:rPr>
  </w:style>
  <w:style w:type="paragraph" w:styleId="38">
    <w:name w:val="List Paragraph"/>
    <w:basedOn w:val="1"/>
    <w:qFormat/>
    <w:uiPriority w:val="0"/>
    <w:pPr>
      <w:ind w:firstLine="420" w:firstLineChars="200"/>
    </w:pPr>
    <w:rPr>
      <w:rFonts w:ascii="Calibri" w:hAnsi="Calibri" w:eastAsia="宋体" w:cs="Times New Roman"/>
    </w:rPr>
  </w:style>
  <w:style w:type="paragraph" w:customStyle="1" w:styleId="39">
    <w:name w:val="列出段落1"/>
    <w:basedOn w:val="1"/>
    <w:qFormat/>
    <w:uiPriority w:val="0"/>
    <w:pPr>
      <w:ind w:firstLine="420" w:firstLineChars="200"/>
    </w:pPr>
    <w:rPr>
      <w:rFonts w:ascii="Calibri" w:hAnsi="Calibri" w:eastAsia="宋体" w:cs="Times New Roman"/>
      <w:szCs w:val="21"/>
    </w:rPr>
  </w:style>
  <w:style w:type="character" w:customStyle="1" w:styleId="40">
    <w:name w:val="正文文本 3 字符"/>
    <w:link w:val="8"/>
    <w:qFormat/>
    <w:uiPriority w:val="0"/>
    <w:rPr>
      <w:rFonts w:ascii="宋体" w:eastAsia="宋体"/>
      <w:sz w:val="24"/>
    </w:rPr>
  </w:style>
  <w:style w:type="character" w:customStyle="1" w:styleId="41">
    <w:name w:val="正文文本 3 Char1"/>
    <w:basedOn w:val="27"/>
    <w:semiHidden/>
    <w:qFormat/>
    <w:uiPriority w:val="99"/>
    <w:rPr>
      <w:sz w:val="16"/>
      <w:szCs w:val="16"/>
    </w:rPr>
  </w:style>
  <w:style w:type="paragraph" w:customStyle="1" w:styleId="42">
    <w:name w:val="样式 标题 2 + Times New Roman 四号 非加粗 段前: 5 磅 段后: 0 磅 行距: 固定值 20..."/>
    <w:basedOn w:val="3"/>
    <w:qFormat/>
    <w:uiPriority w:val="0"/>
    <w:pPr>
      <w:adjustRightInd/>
      <w:snapToGrid/>
      <w:spacing w:before="100" w:after="0" w:line="400" w:lineRule="exact"/>
      <w:ind w:right="0"/>
      <w:jc w:val="both"/>
    </w:pPr>
    <w:rPr>
      <w:rFonts w:ascii="Times New Roman" w:hAnsi="Times New Roman" w:eastAsia="黑体"/>
      <w:b w:val="0"/>
      <w:sz w:val="28"/>
    </w:rPr>
  </w:style>
  <w:style w:type="paragraph" w:customStyle="1" w:styleId="43">
    <w:name w:val="正文 + 行距: 固定值 20 磅"/>
    <w:basedOn w:val="1"/>
    <w:qFormat/>
    <w:uiPriority w:val="0"/>
    <w:pPr>
      <w:spacing w:line="400" w:lineRule="exact"/>
      <w:ind w:firstLine="716" w:firstLineChars="341"/>
    </w:pPr>
    <w:rPr>
      <w:rFonts w:ascii="Times New Roman" w:hAnsi="Times New Roman" w:eastAsia="宋体" w:cs="Times New Roman"/>
      <w:szCs w:val="20"/>
    </w:rPr>
  </w:style>
  <w:style w:type="character" w:customStyle="1" w:styleId="44">
    <w:name w:val="正文文本 字符"/>
    <w:basedOn w:val="27"/>
    <w:link w:val="9"/>
    <w:qFormat/>
    <w:uiPriority w:val="0"/>
    <w:rPr>
      <w:rFonts w:ascii="Times New Roman" w:hAnsi="Times New Roman" w:eastAsia="宋体" w:cs="Times New Roman"/>
      <w:szCs w:val="20"/>
    </w:rPr>
  </w:style>
  <w:style w:type="character" w:customStyle="1" w:styleId="45">
    <w:name w:val="页脚 字符"/>
    <w:basedOn w:val="27"/>
    <w:link w:val="14"/>
    <w:qFormat/>
    <w:uiPriority w:val="99"/>
    <w:rPr>
      <w:rFonts w:ascii="Times New Roman" w:hAnsi="Times New Roman" w:eastAsia="宋体" w:cs="Times New Roman"/>
      <w:kern w:val="0"/>
      <w:sz w:val="18"/>
      <w:szCs w:val="18"/>
    </w:rPr>
  </w:style>
  <w:style w:type="character" w:customStyle="1" w:styleId="46">
    <w:name w:val="页眉 字符"/>
    <w:basedOn w:val="27"/>
    <w:link w:val="15"/>
    <w:qFormat/>
    <w:uiPriority w:val="99"/>
    <w:rPr>
      <w:rFonts w:ascii="Times New Roman" w:hAnsi="Times New Roman" w:eastAsia="宋体" w:cs="Times New Roman"/>
      <w:sz w:val="18"/>
      <w:szCs w:val="18"/>
    </w:rPr>
  </w:style>
  <w:style w:type="character" w:customStyle="1" w:styleId="47">
    <w:name w:val="批注框文本 字符"/>
    <w:basedOn w:val="27"/>
    <w:link w:val="13"/>
    <w:qFormat/>
    <w:uiPriority w:val="99"/>
    <w:rPr>
      <w:rFonts w:ascii="Times New Roman" w:hAnsi="Times New Roman" w:eastAsia="宋体" w:cs="Times New Roman"/>
      <w:sz w:val="18"/>
      <w:szCs w:val="18"/>
    </w:rPr>
  </w:style>
  <w:style w:type="character" w:customStyle="1" w:styleId="48">
    <w:name w:val="批注文字 字符"/>
    <w:basedOn w:val="27"/>
    <w:link w:val="7"/>
    <w:qFormat/>
    <w:uiPriority w:val="0"/>
    <w:rPr>
      <w:rFonts w:ascii="Times New Roman" w:hAnsi="Times New Roman" w:eastAsia="宋体" w:cs="Times New Roman"/>
      <w:szCs w:val="24"/>
    </w:rPr>
  </w:style>
  <w:style w:type="character" w:customStyle="1" w:styleId="49">
    <w:name w:val="批注主题 字符"/>
    <w:basedOn w:val="48"/>
    <w:link w:val="24"/>
    <w:qFormat/>
    <w:uiPriority w:val="0"/>
    <w:rPr>
      <w:rFonts w:ascii="Times New Roman" w:hAnsi="Times New Roman" w:eastAsia="宋体" w:cs="Times New Roman"/>
      <w:b/>
      <w:bCs/>
      <w:szCs w:val="24"/>
    </w:rPr>
  </w:style>
  <w:style w:type="paragraph" w:customStyle="1" w:styleId="50">
    <w:name w:val="修订1"/>
    <w:hidden/>
    <w:unhideWhenUsed/>
    <w:qFormat/>
    <w:uiPriority w:val="99"/>
    <w:rPr>
      <w:rFonts w:ascii="Times New Roman" w:hAnsi="Times New Roman" w:eastAsia="宋体" w:cs="Times New Roman"/>
      <w:kern w:val="2"/>
      <w:sz w:val="21"/>
      <w:szCs w:val="24"/>
      <w:lang w:val="en-US" w:eastAsia="zh-CN" w:bidi="ar-SA"/>
    </w:rPr>
  </w:style>
  <w:style w:type="paragraph" w:customStyle="1" w:styleId="51">
    <w:name w:val="修订11"/>
    <w:hidden/>
    <w:unhideWhenUsed/>
    <w:qFormat/>
    <w:uiPriority w:val="99"/>
    <w:rPr>
      <w:rFonts w:ascii="Times New Roman" w:hAnsi="Times New Roman" w:eastAsia="宋体" w:cs="Times New Roman"/>
      <w:kern w:val="2"/>
      <w:sz w:val="21"/>
      <w:szCs w:val="24"/>
      <w:lang w:val="en-US" w:eastAsia="zh-CN" w:bidi="ar-SA"/>
    </w:rPr>
  </w:style>
  <w:style w:type="character" w:customStyle="1" w:styleId="52">
    <w:name w:val="HTML 预设格式 字符"/>
    <w:basedOn w:val="27"/>
    <w:link w:val="21"/>
    <w:qFormat/>
    <w:uiPriority w:val="99"/>
    <w:rPr>
      <w:rFonts w:ascii="Arial" w:hAnsi="Arial" w:eastAsia="宋体" w:cs="Times New Roman"/>
      <w:szCs w:val="24"/>
    </w:rPr>
  </w:style>
  <w:style w:type="paragraph" w:customStyle="1" w:styleId="53">
    <w:name w:val="xl65"/>
    <w:basedOn w:val="1"/>
    <w:qFormat/>
    <w:uiPriority w:val="0"/>
    <w:pPr>
      <w:widowControl/>
      <w:spacing w:before="100" w:beforeAutospacing="1" w:after="100" w:afterAutospacing="1"/>
      <w:jc w:val="left"/>
    </w:pPr>
    <w:rPr>
      <w:rFonts w:ascii="宋体" w:hAnsi="宋体" w:eastAsia="宋体" w:cs="宋体"/>
      <w:kern w:val="0"/>
      <w:sz w:val="20"/>
      <w:szCs w:val="20"/>
    </w:rPr>
  </w:style>
  <w:style w:type="paragraph" w:customStyle="1" w:styleId="54">
    <w:name w:val="msonormal"/>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55">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56">
    <w:name w:val="xl68"/>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pPr>
    <w:rPr>
      <w:rFonts w:ascii="宋体" w:hAnsi="宋体" w:eastAsia="宋体" w:cs="宋体"/>
      <w:kern w:val="0"/>
      <w:sz w:val="20"/>
      <w:szCs w:val="20"/>
    </w:rPr>
  </w:style>
  <w:style w:type="paragraph" w:customStyle="1" w:styleId="57">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58">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kern w:val="0"/>
      <w:sz w:val="20"/>
      <w:szCs w:val="20"/>
    </w:rPr>
  </w:style>
  <w:style w:type="paragraph" w:customStyle="1" w:styleId="59">
    <w:name w:val="font5"/>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60">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61">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62">
    <w:name w:val="p15"/>
    <w:basedOn w:val="1"/>
    <w:qFormat/>
    <w:uiPriority w:val="0"/>
    <w:pPr>
      <w:widowControl/>
      <w:ind w:firstLine="420"/>
    </w:pPr>
    <w:rPr>
      <w:rFonts w:ascii="Calibri" w:hAnsi="Calibri" w:eastAsia="宋体" w:cs="宋体"/>
      <w:kern w:val="0"/>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2447</Words>
  <Characters>2481</Characters>
  <Lines>29</Lines>
  <Paragraphs>8</Paragraphs>
  <TotalTime>32</TotalTime>
  <ScaleCrop>false</ScaleCrop>
  <LinksUpToDate>false</LinksUpToDate>
  <CharactersWithSpaces>2483</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2021-05-18T01:21:00Z</dcterms:created>
  <dc:creator>lujinzhi</dc:creator>
  <cp:lastModifiedBy>月卧潇湘</cp:lastModifiedBy>
  <dcterms:modified xsi:type="dcterms:W3CDTF">2023-02-28T02:24:58Z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FE1C81D6C44F4BB7A33A73D09F36969E</vt:lpwstr>
  </property>
  <property fmtid="{D5CDD505-2E9C-101B-9397-08002B2CF9AE}" pid="4" name="commondata">
    <vt:lpwstr>eyJoZGlkIjoiMDJiNDFhOTIzOGI5MmJmZDU2ZDllMTkxMmYyYTVlNjMifQ==</vt:lpwstr>
  </property>
</Properties>
</file>