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pStyle w:val="5"/>
        <w:keepNext w:val="0"/>
        <w:keepLines w:val="0"/>
        <w:widowControl/>
        <w:suppressLineNumbers w:val="0"/>
        <w:spacing w:before="0" w:beforeAutospacing="0" w:after="0" w:afterAutospacing="0"/>
        <w:ind w:left="0" w:right="0" w:firstLine="0"/>
        <w:rPr>
          <w:rFonts w:hint="default" w:eastAsia="宋体" w:asciiTheme="minorEastAsia" w:hAnsiTheme="minorEastAsia"/>
          <w:color w:val="FF0000"/>
          <w:sz w:val="22"/>
          <w:lang w:val="en-US" w:eastAsia="zh-CN"/>
        </w:rPr>
      </w:pPr>
      <w:r>
        <w:rPr>
          <w:rFonts w:hint="eastAsia" w:ascii="宋体" w:hAnsi="宋体" w:eastAsia="宋体" w:cs="宋体"/>
          <w:bCs/>
          <w:sz w:val="24"/>
          <w:lang w:val="en-US" w:eastAsia="zh-CN"/>
        </w:rPr>
        <w:t xml:space="preserve">      </w:t>
      </w:r>
      <w:r>
        <w:rPr>
          <w:rFonts w:hint="eastAsia" w:ascii="宋体" w:hAnsi="宋体" w:eastAsia="宋体" w:cs="宋体"/>
          <w:bCs/>
          <w:sz w:val="24"/>
        </w:rPr>
        <w:t>本工程为</w:t>
      </w:r>
      <w:r>
        <w:rPr>
          <w:rFonts w:hint="eastAsia" w:ascii="宋体" w:hAnsi="宋体" w:eastAsia="宋体" w:cs="宋体"/>
          <w:sz w:val="24"/>
          <w:lang w:val="en-US" w:eastAsia="zh-CN"/>
        </w:rPr>
        <w:t>南京大学仙林校区李奇茂艺术馆改造</w:t>
      </w:r>
      <w:r>
        <w:rPr>
          <w:rFonts w:hint="eastAsia" w:ascii="宋体" w:hAnsi="宋体" w:eastAsia="宋体" w:cs="宋体"/>
          <w:sz w:val="24"/>
        </w:rPr>
        <w:t>项目</w:t>
      </w:r>
      <w:r>
        <w:rPr>
          <w:rFonts w:hint="eastAsia" w:ascii="宋体" w:hAnsi="宋体" w:eastAsia="宋体" w:cs="宋体"/>
          <w:bCs/>
          <w:sz w:val="24"/>
        </w:rPr>
        <w:t>。主要内容为</w:t>
      </w:r>
      <w:r>
        <w:rPr>
          <w:rFonts w:hint="eastAsia" w:ascii="宋体" w:hAnsi="宋体" w:eastAsia="宋体" w:cs="宋体"/>
          <w:bCs/>
          <w:sz w:val="24"/>
          <w:lang w:val="en-US" w:eastAsia="zh-CN"/>
        </w:rPr>
        <w:t>李奇茂艺术馆改造：拆除现有天花光膜造型，</w:t>
      </w:r>
      <w:r>
        <w:rPr>
          <w:rFonts w:hint="eastAsia" w:ascii="宋体" w:hAnsi="宋体" w:eastAsia="宋体" w:cs="宋体"/>
          <w:sz w:val="22"/>
          <w:szCs w:val="22"/>
          <w:lang w:val="en-US" w:eastAsia="zh-CN"/>
        </w:rPr>
        <w:t>室内装修改造</w:t>
      </w:r>
      <w:r>
        <w:rPr>
          <w:rFonts w:hint="eastAsia" w:ascii="宋体" w:hAnsi="宋体" w:eastAsia="宋体" w:cs="宋体"/>
          <w:sz w:val="24"/>
          <w:highlight w:val="none"/>
          <w:lang w:val="en-US" w:eastAsia="zh-CN"/>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720" w:firstLineChars="300"/>
        <w:rPr>
          <w:rFonts w:hint="eastAsia" w:asciiTheme="minorEastAsia" w:hAnsiTheme="minorEastAsia"/>
          <w:color w:val="FF0000"/>
          <w:sz w:val="22"/>
        </w:rPr>
      </w:pPr>
      <w:r>
        <w:rPr>
          <w:rFonts w:hint="eastAsia" w:ascii="宋体" w:hAnsi="宋体" w:eastAsia="宋体" w:cs="宋体"/>
          <w:sz w:val="24"/>
          <w:highlight w:val="none"/>
          <w:lang w:val="en-US" w:eastAsia="zh-CN"/>
        </w:rPr>
        <w:t>本项目</w:t>
      </w:r>
      <w:r>
        <w:rPr>
          <w:rFonts w:hint="eastAsia" w:ascii="宋体" w:hAnsi="宋体" w:eastAsia="宋体" w:cs="宋体"/>
          <w:sz w:val="24"/>
          <w:lang w:val="en-US" w:eastAsia="zh-CN"/>
        </w:rPr>
        <w:t>主要包括旧装修拆除、装饰，具体</w:t>
      </w:r>
      <w:r>
        <w:rPr>
          <w:rFonts w:hint="eastAsia" w:ascii="宋体" w:hAnsi="宋体" w:eastAsia="宋体" w:cs="宋体"/>
          <w:sz w:val="24"/>
        </w:rPr>
        <w:t>详见施工图纸及工程量清单。</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b w:val="0"/>
          <w:bCs w:val="0"/>
          <w:color w:val="auto"/>
          <w:sz w:val="22"/>
          <w:lang w:val="en-US" w:eastAsia="zh-CN"/>
        </w:rPr>
        <w:t>南京大学建筑规划</w:t>
      </w:r>
      <w:r>
        <w:rPr>
          <w:rFonts w:hint="eastAsia" w:asciiTheme="minorEastAsia" w:hAnsiTheme="minorEastAsia"/>
          <w:b w:val="0"/>
          <w:bCs w:val="0"/>
          <w:color w:val="auto"/>
          <w:sz w:val="22"/>
        </w:rPr>
        <w:t>设计</w:t>
      </w:r>
      <w:r>
        <w:rPr>
          <w:rFonts w:hint="eastAsia" w:asciiTheme="minorEastAsia" w:hAnsiTheme="minorEastAsia"/>
          <w:b w:val="0"/>
          <w:bCs w:val="0"/>
          <w:color w:val="auto"/>
          <w:sz w:val="22"/>
          <w:lang w:val="en-US" w:eastAsia="zh-CN"/>
        </w:rPr>
        <w:t>研究</w:t>
      </w:r>
      <w:r>
        <w:rPr>
          <w:rFonts w:hint="eastAsia" w:asciiTheme="minorEastAsia" w:hAnsiTheme="minorEastAsia"/>
          <w:b w:val="0"/>
          <w:bCs w:val="0"/>
          <w:color w:val="auto"/>
          <w:sz w:val="22"/>
        </w:rPr>
        <w:t>院</w:t>
      </w:r>
      <w:r>
        <w:rPr>
          <w:rFonts w:hint="eastAsia" w:asciiTheme="minorEastAsia" w:hAnsiTheme="minorEastAsia"/>
          <w:b w:val="0"/>
          <w:bCs w:val="0"/>
          <w:color w:val="auto"/>
          <w:sz w:val="22"/>
          <w:lang w:val="en-US" w:eastAsia="zh-CN"/>
        </w:rPr>
        <w:t>有限公司</w:t>
      </w:r>
      <w:r>
        <w:rPr>
          <w:rFonts w:hint="eastAsia" w:asciiTheme="minorEastAsia" w:hAnsiTheme="minorEastAsia"/>
          <w:b w:val="0"/>
          <w:bCs w:val="0"/>
          <w:color w:val="auto"/>
          <w:sz w:val="22"/>
        </w:rPr>
        <w:t>设计的</w:t>
      </w:r>
      <w:r>
        <w:rPr>
          <w:rFonts w:hint="eastAsia" w:asciiTheme="minorEastAsia" w:hAnsiTheme="minorEastAsia"/>
          <w:b w:val="0"/>
          <w:bCs w:val="0"/>
          <w:color w:val="auto"/>
          <w:sz w:val="22"/>
          <w:lang w:val="en-US" w:eastAsia="zh-CN"/>
        </w:rPr>
        <w:t>2024</w:t>
      </w:r>
      <w:r>
        <w:rPr>
          <w:rFonts w:hint="eastAsia" w:asciiTheme="minorEastAsia" w:hAnsiTheme="minorEastAsia"/>
          <w:b w:val="0"/>
          <w:bCs w:val="0"/>
          <w:color w:val="auto"/>
          <w:sz w:val="22"/>
        </w:rPr>
        <w:t>年</w:t>
      </w:r>
      <w:r>
        <w:rPr>
          <w:rFonts w:hint="eastAsia" w:asciiTheme="minorEastAsia" w:hAnsiTheme="minorEastAsia"/>
          <w:b w:val="0"/>
          <w:bCs w:val="0"/>
          <w:color w:val="auto"/>
          <w:sz w:val="22"/>
          <w:lang w:val="en-US" w:eastAsia="zh-CN"/>
        </w:rPr>
        <w:t>6</w:t>
      </w:r>
      <w:r>
        <w:rPr>
          <w:rFonts w:hint="eastAsia" w:asciiTheme="minorEastAsia" w:hAnsiTheme="minorEastAsia"/>
          <w:b w:val="0"/>
          <w:bCs w:val="0"/>
          <w:color w:val="auto"/>
          <w:sz w:val="22"/>
        </w:rPr>
        <w:t>月</w:t>
      </w:r>
      <w:r>
        <w:rPr>
          <w:rFonts w:hint="eastAsia" w:asciiTheme="minorEastAsia" w:hAnsiTheme="minorEastAsia"/>
          <w:b w:val="0"/>
          <w:bCs w:val="0"/>
          <w:color w:val="auto"/>
          <w:sz w:val="22"/>
          <w:lang w:eastAsia="zh-CN"/>
        </w:rPr>
        <w:t>（</w:t>
      </w:r>
      <w:r>
        <w:rPr>
          <w:rFonts w:hint="eastAsia" w:asciiTheme="minorEastAsia" w:hAnsiTheme="minorEastAsia"/>
          <w:b w:val="0"/>
          <w:bCs w:val="0"/>
          <w:color w:val="auto"/>
          <w:sz w:val="22"/>
          <w:lang w:val="en-US" w:eastAsia="zh-CN"/>
        </w:rPr>
        <w:t>南京大学仙林校区李奇茂艺术馆改造）</w:t>
      </w:r>
      <w:r>
        <w:rPr>
          <w:rFonts w:hint="eastAsia" w:asciiTheme="minorEastAsia" w:hAnsiTheme="minorEastAsia"/>
          <w:sz w:val="22"/>
        </w:rPr>
        <w:t>施工图及其说明等技术资料。</w:t>
      </w:r>
    </w:p>
    <w:p>
      <w:pPr>
        <w:spacing w:line="360" w:lineRule="auto"/>
        <w:ind w:firstLine="440" w:firstLineChars="200"/>
        <w:rPr>
          <w:rFonts w:hint="eastAsia"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③《通用安装工程工程量计算规范》（GB50856-2013）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④现行相关补充或调整文件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3</w:t>
      </w:r>
      <w:r>
        <w:rPr>
          <w:rFonts w:hint="eastAsia" w:asciiTheme="minorEastAsia" w:hAnsiTheme="minorEastAsia"/>
          <w:color w:val="auto"/>
          <w:sz w:val="22"/>
        </w:rPr>
        <w:t>、与本工程项目有关的标准、施工规范与验收规范。</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四、取费标准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4、《省住房城乡建设厅关于建筑工人实名制费用计取方法的公告》〔2019〕第19号</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（1）暂列金额：</w:t>
      </w:r>
      <w:r>
        <w:rPr>
          <w:rFonts w:hint="eastAsia" w:asciiTheme="minorEastAsia" w:hAnsiTheme="minorEastAsia"/>
          <w:color w:val="auto"/>
          <w:sz w:val="22"/>
          <w:lang w:val="en-US" w:eastAsia="zh-CN"/>
        </w:rPr>
        <w:t>9309.41</w:t>
      </w:r>
      <w:bookmarkStart w:id="2" w:name="_GoBack"/>
      <w:bookmarkEnd w:id="2"/>
      <w:r>
        <w:rPr>
          <w:rFonts w:hint="eastAsia" w:asciiTheme="minorEastAsia" w:hAnsiTheme="minorEastAsia"/>
          <w:color w:val="auto"/>
          <w:sz w:val="22"/>
          <w:lang w:val="en-US" w:eastAsia="zh-CN"/>
        </w:rPr>
        <w:t>元</w:t>
      </w:r>
      <w:r>
        <w:rPr>
          <w:rFonts w:hint="eastAsia" w:asciiTheme="minorEastAsia" w:hAnsiTheme="minorEastAsia"/>
          <w:color w:val="auto"/>
          <w:sz w:val="22"/>
        </w:rPr>
        <w:t>。</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w:t>
      </w:r>
      <w:r>
        <w:rPr>
          <w:rFonts w:hint="eastAsia" w:asciiTheme="minorEastAsia" w:hAnsiTheme="minorEastAsia"/>
          <w:color w:val="auto"/>
          <w:sz w:val="22"/>
          <w:lang w:val="en-US" w:eastAsia="zh-CN"/>
        </w:rPr>
        <w:t>无</w:t>
      </w:r>
      <w:r>
        <w:rPr>
          <w:rFonts w:hint="eastAsia" w:asciiTheme="minorEastAsia" w:hAnsiTheme="minorEastAsia"/>
          <w:color w:val="auto"/>
          <w:sz w:val="22"/>
        </w:rPr>
        <w:t>。</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五、图纸及工程量计算中的相关说明</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1、通用部分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2、土建部分</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（1）本工程砂浆按预拌砂浆考虑，砼按商品砼考虑，现场采用泵送还是非泵送由投标单位自行考虑。</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2）</w:t>
      </w:r>
      <w:r>
        <w:rPr>
          <w:rFonts w:hint="eastAsia" w:asciiTheme="minorEastAsia" w:hAnsiTheme="minorEastAsia"/>
          <w:color w:val="auto"/>
          <w:sz w:val="22"/>
        </w:rPr>
        <w:t>有防</w:t>
      </w:r>
      <w:bookmarkStart w:id="0" w:name="OLE_LINK2"/>
      <w:r>
        <w:rPr>
          <w:rFonts w:hint="eastAsia" w:asciiTheme="minorEastAsia" w:hAnsiTheme="minorEastAsia"/>
          <w:color w:val="auto"/>
          <w:sz w:val="22"/>
        </w:rPr>
        <w:t>潮、防锈、防霉</w:t>
      </w:r>
      <w:bookmarkEnd w:id="0"/>
      <w:r>
        <w:rPr>
          <w:rFonts w:hint="eastAsia" w:asciiTheme="minorEastAsia" w:hAnsiTheme="minorEastAsia"/>
          <w:color w:val="auto"/>
          <w:sz w:val="22"/>
        </w:rPr>
        <w:t>使用要求的材料、零配件、五金件等选用</w:t>
      </w:r>
      <w:bookmarkStart w:id="1" w:name="OLE_LINK3"/>
      <w:r>
        <w:rPr>
          <w:rFonts w:hint="eastAsia" w:asciiTheme="minorEastAsia" w:hAnsiTheme="minorEastAsia"/>
          <w:color w:val="auto"/>
          <w:sz w:val="22"/>
        </w:rPr>
        <w:t>防潮、防锈、防霉</w:t>
      </w:r>
      <w:bookmarkEnd w:id="1"/>
      <w:r>
        <w:rPr>
          <w:rFonts w:hint="eastAsia" w:asciiTheme="minorEastAsia" w:hAnsiTheme="minorEastAsia"/>
          <w:color w:val="auto"/>
          <w:sz w:val="22"/>
        </w:rPr>
        <w:t>产品或进行相应的防潮、防锈、防霉等处理。</w:t>
      </w:r>
    </w:p>
    <w:p>
      <w:pPr>
        <w:spacing w:line="360" w:lineRule="auto"/>
        <w:ind w:firstLine="440" w:firstLineChars="200"/>
        <w:rPr>
          <w:rFonts w:hint="eastAsia" w:asciiTheme="minorEastAsia" w:hAnsiTheme="minorEastAsia"/>
          <w:color w:val="auto"/>
          <w:sz w:val="22"/>
          <w:highlight w:val="none"/>
        </w:rPr>
      </w:pPr>
      <w:r>
        <w:rPr>
          <w:rFonts w:hint="eastAsia" w:asciiTheme="minorEastAsia" w:hAnsiTheme="minorEastAsia"/>
          <w:color w:val="auto"/>
          <w:sz w:val="22"/>
          <w:highlight w:val="none"/>
          <w:lang w:eastAsia="zh-CN"/>
        </w:rPr>
        <w:t>（</w:t>
      </w:r>
      <w:r>
        <w:rPr>
          <w:rFonts w:hint="eastAsia" w:asciiTheme="minorEastAsia" w:hAnsiTheme="minorEastAsia"/>
          <w:color w:val="auto"/>
          <w:sz w:val="22"/>
          <w:highlight w:val="none"/>
          <w:lang w:val="en-US" w:eastAsia="zh-CN"/>
        </w:rPr>
        <w:t>3）</w:t>
      </w:r>
      <w:r>
        <w:rPr>
          <w:rFonts w:hint="eastAsia" w:asciiTheme="minorEastAsia" w:hAnsiTheme="minorEastAsia"/>
          <w:color w:val="auto"/>
          <w:sz w:val="22"/>
          <w:highlight w:val="none"/>
        </w:rPr>
        <w:t>所有的石材、地砖、瓷砖、都需应根据图纸设计要求进行防护处理，并考虑成品保护，石材的倒角、磨边、切割、开槽等加工费用均包含在本次报价中。</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4）</w:t>
      </w:r>
      <w:r>
        <w:rPr>
          <w:rFonts w:hint="eastAsia" w:asciiTheme="minorEastAsia" w:hAnsiTheme="minorEastAsia"/>
          <w:color w:val="auto"/>
          <w:sz w:val="22"/>
        </w:rPr>
        <w:t>所有木材基层均应防火、防腐处理，此费用综合单价中，结算不调整。</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rPr>
          <w:rFonts w:hint="eastAsia" w:asciiTheme="minorEastAsia" w:hAnsiTheme="minorEastAsia"/>
          <w:sz w:val="22"/>
        </w:rPr>
      </w:pPr>
    </w:p>
    <w:p>
      <w:pPr>
        <w:numPr>
          <w:ilvl w:val="0"/>
          <w:numId w:val="1"/>
        </w:numPr>
        <w:spacing w:line="360" w:lineRule="auto"/>
        <w:ind w:firstLine="440" w:firstLineChars="200"/>
        <w:rPr>
          <w:rFonts w:hint="eastAsia" w:asciiTheme="minorEastAsia" w:hAnsiTheme="minorEastAsia"/>
          <w:sz w:val="22"/>
        </w:rPr>
      </w:pPr>
      <w:r>
        <w:rPr>
          <w:rFonts w:hint="eastAsia" w:asciiTheme="minorEastAsia" w:hAnsiTheme="minorEastAsia"/>
          <w:sz w:val="22"/>
        </w:rPr>
        <w:t>本项目主要材料品牌推荐表如下：</w:t>
      </w:r>
    </w:p>
    <w:tbl>
      <w:tblPr>
        <w:tblStyle w:val="6"/>
        <w:tblW w:w="91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8"/>
        <w:gridCol w:w="1164"/>
        <w:gridCol w:w="634"/>
        <w:gridCol w:w="1352"/>
        <w:gridCol w:w="5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材料设备名称</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推荐品牌、系列</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制造商名称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马钢</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"供应商基本信息/马鞍山钢铁股份有限公司"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马鞍山钢铁股份有限公司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沙钢</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"供应商基本信息/江苏沙钢集团有限公司"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江苏沙钢集团有限公司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南钢</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"供应商基本信息/南京钢铁股份有限公司"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南京钢铁股份有限公司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永钢</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"供应商基本信息/江苏永钢集团有限公司"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江苏永钢集团有限公司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海螺</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"供应商基本信息\\安徽海螺水泥股份有限公司"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安徽海螺水泥股份有限公司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鹤林</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"供应商基本信息/江苏鹤林水泥有限公司"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江苏鹤林水泥有限公司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中联</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"供应商基本信息/中国联合水泥集团有限公司"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中国联合水泥集团有限公司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石膏板</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龙牌</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"供应商基本信息/北新集团建材股份有限公司"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北新集团建材股份有限公司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"供应商基本信息\\圣戈班高科技材料（上海）有限公司"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圣戈班高科技材料（上海）有限公司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KNF</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"供应商基本信息\\可耐福新加坡有限公司（KNAUF SINGAPORE PTE LTD）"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可耐福新加坡有限公司（KNAUF SINGAPORE PTE LTD）</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轻钢龙骨</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龙牌</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"供应商基本信息/北新集团建材股份有限公司"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北新集团建材股份有限公司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杰科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"供应商基本信息\\圣戈班（中国）投资有限公司"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圣戈班(中国)投资有限公司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KNF</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"供应商基本信息\\可耐福新加坡有限公司（KNAUF SINGAPORE PTE LTD）"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可耐福新加坡有限公司（KNAUF SINGAPORE PTE LTD）</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内外墙涂料</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三棵树</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"供应商基本信息/三棵树涂料股份有限公司"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三棵树涂料股份有限公司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立邦</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"供应商基本信息/立邦涂料(中国)有限公司"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立邦涂料(中国)有限公司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亚士</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"供应商基本信息/亚士创能科技（上海）股份有限公司"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亚士创能科技（上海）股份有限公司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丰彩</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"供应商基本信息/江苏丰彩建材（集团）有限公司"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江苏丰彩建材（集团）有限公司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w:t>
            </w:r>
          </w:p>
        </w:tc>
        <w:tc>
          <w:tcPr>
            <w:tcW w:w="116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防水涂料、防水卷材</w:t>
            </w: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东方雨虹</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"供应商基本信息/北京东方雨虹防水技术股份有限公司"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北京东方雨虹防水技术股份有限公司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科顺</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"供应商基本信息/科顺防水科技股份有限公司"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科顺防水科技股份有限公司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北新</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Style w:val="9"/>
                <w:rFonts w:hint="eastAsia" w:ascii="宋体" w:hAnsi="宋体" w:eastAsia="宋体" w:cs="宋体"/>
                <w:i w:val="0"/>
                <w:iCs w:val="0"/>
                <w:sz w:val="20"/>
                <w:szCs w:val="20"/>
                <w:u w:val="single"/>
                <w:lang w:val="en-US" w:eastAsia="zh-CN"/>
              </w:rPr>
              <w:t>北新集团建材股份有限公司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德生</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"供应商基本信息\\唐山德生防水股份有限公司"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唐山德生防水股份有限公司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9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凯伦</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kern w:val="0"/>
                <w:sz w:val="20"/>
                <w:szCs w:val="20"/>
                <w:u w:val="single"/>
                <w:lang w:val="en-US" w:eastAsia="zh-CN" w:bidi="ar"/>
              </w:rPr>
            </w:pPr>
            <w:r>
              <w:rPr>
                <w:rStyle w:val="9"/>
                <w:rFonts w:hint="eastAsia" w:ascii="宋体" w:hAnsi="宋体" w:eastAsia="宋体" w:cs="宋体"/>
                <w:i w:val="0"/>
                <w:iCs w:val="0"/>
                <w:sz w:val="20"/>
                <w:szCs w:val="20"/>
                <w:u w:val="single"/>
                <w:lang w:val="en-US" w:eastAsia="zh-CN"/>
              </w:rPr>
              <w:t>江苏凯伦建材股份有限公司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w:t>
            </w:r>
          </w:p>
        </w:tc>
        <w:tc>
          <w:tcPr>
            <w:tcW w:w="1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成品钢质门</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赛银将军</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"供应商基本信息\\浙江赛银将军门业有限公司"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浙江赛银将军门业有限公司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锐亿</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default" w:ascii="Arial" w:hAnsi="Arial" w:eastAsia="宋体" w:cs="Arial"/>
                <w:i w:val="0"/>
                <w:iCs w:val="0"/>
                <w:kern w:val="0"/>
                <w:sz w:val="20"/>
                <w:szCs w:val="20"/>
                <w:u w:val="single"/>
                <w:lang w:val="en-US" w:eastAsia="zh-CN" w:bidi="ar"/>
              </w:rPr>
              <w:fldChar w:fldCharType="begin"/>
            </w:r>
            <w:r>
              <w:rPr>
                <w:rFonts w:hint="default" w:ascii="Arial" w:hAnsi="Arial" w:eastAsia="宋体" w:cs="Arial"/>
                <w:i w:val="0"/>
                <w:iCs w:val="0"/>
                <w:kern w:val="0"/>
                <w:sz w:val="20"/>
                <w:szCs w:val="20"/>
                <w:u w:val="single"/>
                <w:lang w:val="en-US" w:eastAsia="zh-CN" w:bidi="ar"/>
              </w:rPr>
              <w:instrText xml:space="preserve"> HYPERLINK "供应商基本信息\\浙江锐亿智能科技股份有限公司" </w:instrText>
            </w:r>
            <w:r>
              <w:rPr>
                <w:rFonts w:hint="default" w:ascii="Arial" w:hAnsi="Arial" w:eastAsia="宋体" w:cs="Arial"/>
                <w:i w:val="0"/>
                <w:iCs w:val="0"/>
                <w:kern w:val="0"/>
                <w:sz w:val="20"/>
                <w:szCs w:val="20"/>
                <w:u w:val="single"/>
                <w:lang w:val="en-US" w:eastAsia="zh-CN" w:bidi="ar"/>
              </w:rPr>
              <w:fldChar w:fldCharType="separate"/>
            </w:r>
            <w:r>
              <w:rPr>
                <w:rStyle w:val="9"/>
                <w:rFonts w:hint="default" w:ascii="Arial" w:hAnsi="Arial" w:eastAsia="宋体" w:cs="Arial"/>
                <w:i w:val="0"/>
                <w:iCs w:val="0"/>
                <w:sz w:val="20"/>
                <w:szCs w:val="20"/>
                <w:u w:val="single"/>
              </w:rPr>
              <w:t>浙江锐亿智能科技股份有限公司</w:t>
            </w:r>
            <w:r>
              <w:rPr>
                <w:rFonts w:hint="default" w:ascii="Arial" w:hAnsi="Arial" w:eastAsia="宋体" w:cs="Arial"/>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轩源</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"供应商基本信息\\上海轩源金属建材有限公司"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上海轩源金属建材有限公司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防火锁、闭门器、顺位器、合页及五金</w:t>
            </w: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安恒通</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"供应商基本信息\\北京安恒利通科技股份公司"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北京安恒利通科技有限公司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强棒牌 TOPONE</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"供应商基本信息\\上海东冠五金有限公司"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上海东冠五金有限公司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ECO</w:t>
            </w:r>
          </w:p>
        </w:tc>
        <w:tc>
          <w:tcPr>
            <w:tcW w:w="5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0"/>
                <w:szCs w:val="20"/>
                <w:u w:val="single"/>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"供应商基本信息\\茵科门控（珠海保税区）有限公司"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茵科门控（珠海保税区）有限公司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restart"/>
            <w:tcBorders>
              <w:top w:val="single" w:color="auto" w:sz="4" w:space="0"/>
              <w:left w:val="single" w:color="auto" w:sz="4" w:space="0"/>
              <w:right w:val="single" w:color="000000" w:sz="4" w:space="0"/>
            </w:tcBorders>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w:t>
            </w:r>
          </w:p>
        </w:tc>
        <w:tc>
          <w:tcPr>
            <w:tcW w:w="1164" w:type="dxa"/>
            <w:vMerge w:val="restart"/>
            <w:tcBorders>
              <w:top w:val="single" w:color="auto"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（热镀锌)钢管、焊接钢管、热浸锌钢管</w:t>
            </w:r>
          </w:p>
        </w:tc>
        <w:tc>
          <w:tcPr>
            <w:tcW w:w="1986" w:type="dxa"/>
            <w:gridSpan w:val="2"/>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天虹</w:t>
            </w:r>
          </w:p>
        </w:tc>
        <w:tc>
          <w:tcPr>
            <w:tcW w:w="545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kern w:val="0"/>
                <w:sz w:val="20"/>
                <w:szCs w:val="20"/>
                <w:u w:val="single"/>
                <w:lang w:val="en-US" w:eastAsia="zh-CN" w:bidi="ar"/>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"供应商基本信息\\邯郸正大制管集团股份有限公司"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邯郸正大制管集团股份有限公司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金洲</w:t>
            </w:r>
          </w:p>
        </w:tc>
        <w:tc>
          <w:tcPr>
            <w:tcW w:w="545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kern w:val="0"/>
                <w:sz w:val="20"/>
                <w:szCs w:val="20"/>
                <w:u w:val="single"/>
                <w:lang w:val="en-US" w:eastAsia="zh-CN" w:bidi="ar"/>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"供应商基本信息\\浙江金洲管道科技股份有限公司"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浙江金洲管道科技股份有限公司</w:t>
            </w:r>
            <w:r>
              <w:rPr>
                <w:rFonts w:hint="eastAsia" w:ascii="宋体" w:hAnsi="宋体" w:eastAsia="宋体" w:cs="宋体"/>
                <w:i w:val="0"/>
                <w:iCs w:val="0"/>
                <w:kern w:val="0"/>
                <w:sz w:val="20"/>
                <w:szCs w:val="20"/>
                <w:u w:val="singl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28" w:type="dxa"/>
            <w:vMerge w:val="continue"/>
            <w:tcBorders>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4" w:type="dxa"/>
            <w:vMerge w:val="continue"/>
            <w:tcBorders>
              <w:top w:val="nil"/>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gridSpan w:val="2"/>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友发</w:t>
            </w:r>
          </w:p>
        </w:tc>
        <w:tc>
          <w:tcPr>
            <w:tcW w:w="545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kern w:val="0"/>
                <w:sz w:val="20"/>
                <w:szCs w:val="20"/>
                <w:u w:val="single"/>
                <w:lang w:val="en-US" w:eastAsia="zh-CN" w:bidi="ar"/>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"供应商基本信息\\天津友发钢管集团股份有限公司"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9"/>
                <w:rFonts w:hint="eastAsia" w:ascii="宋体" w:hAnsi="宋体" w:eastAsia="宋体" w:cs="宋体"/>
                <w:i w:val="0"/>
                <w:iCs w:val="0"/>
                <w:sz w:val="20"/>
                <w:szCs w:val="20"/>
                <w:u w:val="single"/>
              </w:rPr>
              <w:t>天津友发钢管集团股份有限公司</w:t>
            </w:r>
            <w:r>
              <w:rPr>
                <w:rFonts w:hint="eastAsia" w:ascii="宋体" w:hAnsi="宋体" w:eastAsia="宋体" w:cs="宋体"/>
                <w:i w:val="0"/>
                <w:iCs w:val="0"/>
                <w:kern w:val="0"/>
                <w:sz w:val="20"/>
                <w:szCs w:val="20"/>
                <w:u w:val="single"/>
                <w:lang w:val="en-US" w:eastAsia="zh-CN" w:bidi="ar"/>
              </w:rPr>
              <w:fldChar w:fldCharType="end"/>
            </w:r>
          </w:p>
        </w:tc>
      </w:tr>
    </w:tbl>
    <w:p>
      <w:pPr>
        <w:numPr>
          <w:ilvl w:val="0"/>
          <w:numId w:val="0"/>
        </w:numPr>
        <w:spacing w:line="360" w:lineRule="auto"/>
        <w:rPr>
          <w:rFonts w:hint="eastAsia" w:asciiTheme="minorEastAsia" w:hAnsiTheme="minorEastAsia"/>
          <w:sz w:val="22"/>
        </w:rPr>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hint="eastAsia" w:asciiTheme="minorEastAsia" w:hAnsiTheme="minorEastAsia"/>
          <w:b/>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r>
        <w:rPr>
          <w:rFonts w:hint="eastAsia" w:asciiTheme="minorEastAsia" w:hAnsiTheme="minorEastAsia"/>
          <w:b/>
          <w:sz w:val="22"/>
          <w:lang w:eastAsia="zh-CN"/>
        </w:rPr>
        <w:t>：</w:t>
      </w:r>
      <w:r>
        <w:rPr>
          <w:rFonts w:hint="eastAsia" w:asciiTheme="minorEastAsia" w:hAnsiTheme="minorEastAsia"/>
          <w:b/>
          <w:sz w:val="22"/>
          <w:lang w:val="en-US" w:eastAsia="zh-CN"/>
        </w:rPr>
        <w:t>无。</w:t>
      </w:r>
    </w:p>
    <w:p>
      <w:pPr>
        <w:numPr>
          <w:ilvl w:val="0"/>
          <w:numId w:val="0"/>
        </w:num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w:t>
      </w:r>
      <w:r>
        <w:rPr>
          <w:rFonts w:hint="eastAsia" w:asciiTheme="minorEastAsia" w:hAnsiTheme="minorEastAsia"/>
          <w:sz w:val="22"/>
          <w:highlight w:val="none"/>
        </w:rPr>
        <w:t>工程施工所需水、电、路、渣土堆放、施工便道修建等是否满足施工需求，承包人必须根据其自身施工条件，考虑自备电源发电、场地硬化、施工便道填筑等，</w:t>
      </w:r>
      <w:r>
        <w:rPr>
          <w:rFonts w:hint="eastAsia" w:asciiTheme="minorEastAsia" w:hAnsiTheme="minorEastAsia"/>
          <w:sz w:val="22"/>
        </w:rPr>
        <w:t>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default" w:asciiTheme="minorEastAsia" w:hAnsiTheme="minorEastAsia" w:eastAsiaTheme="minorEastAsia"/>
          <w:sz w:val="22"/>
          <w:lang w:val="en-US" w:eastAsia="zh-CN"/>
        </w:rPr>
      </w:pPr>
      <w:r>
        <w:rPr>
          <w:rFonts w:hint="eastAsia" w:asciiTheme="minorEastAsia" w:hAnsiTheme="minorEastAsia"/>
          <w:sz w:val="22"/>
          <w:lang w:val="en-US" w:eastAsia="zh-CN"/>
        </w:rPr>
        <w:t>6、投标人在施工是应采取相应遮挡措施，以防止高空摄像。</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F5233"/>
    <w:multiLevelType w:val="singleLevel"/>
    <w:tmpl w:val="127F5233"/>
    <w:lvl w:ilvl="0" w:tentative="0">
      <w:start w:val="1"/>
      <w:numFmt w:val="decimal"/>
      <w:suff w:val="nothing"/>
      <w:lvlText w:val="%1、"/>
      <w:lvlJc w:val="left"/>
    </w:lvl>
  </w:abstractNum>
  <w:abstractNum w:abstractNumId="1">
    <w:nsid w:val="3C6CA550"/>
    <w:multiLevelType w:val="singleLevel"/>
    <w:tmpl w:val="3C6CA55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kNTg2MWMzMjgxZjhmOWMxN2M1Mjc2NDIzOTU0NTU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86910"/>
    <w:rsid w:val="00EE0655"/>
    <w:rsid w:val="00EF2517"/>
    <w:rsid w:val="00F54A72"/>
    <w:rsid w:val="00F82DC4"/>
    <w:rsid w:val="06CD3D27"/>
    <w:rsid w:val="0CA63364"/>
    <w:rsid w:val="0D034FD5"/>
    <w:rsid w:val="18F96548"/>
    <w:rsid w:val="19335AC7"/>
    <w:rsid w:val="228A1AA2"/>
    <w:rsid w:val="2DB45933"/>
    <w:rsid w:val="33ED41C1"/>
    <w:rsid w:val="43055FD1"/>
    <w:rsid w:val="4462309D"/>
    <w:rsid w:val="458D460F"/>
    <w:rsid w:val="4B8200C1"/>
    <w:rsid w:val="4EE83B2F"/>
    <w:rsid w:val="50BC3CDB"/>
    <w:rsid w:val="58E24F48"/>
    <w:rsid w:val="5EBA101D"/>
    <w:rsid w:val="666B1358"/>
    <w:rsid w:val="6BD047A7"/>
    <w:rsid w:val="6EFC1845"/>
    <w:rsid w:val="6FBC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4"/>
    <w:autoRedefine/>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批注框文本 Char"/>
    <w:basedOn w:val="8"/>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2782</Words>
  <Characters>2906</Characters>
  <Lines>19</Lines>
  <Paragraphs>5</Paragraphs>
  <TotalTime>24</TotalTime>
  <ScaleCrop>false</ScaleCrop>
  <LinksUpToDate>false</LinksUpToDate>
  <CharactersWithSpaces>2920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張蕊</cp:lastModifiedBy>
  <dcterms:modified xsi:type="dcterms:W3CDTF">2024-07-08T06:03:35Z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6F2883CA332F4B76AAE28BB391826BA9_12</vt:lpwstr>
  </property>
</Properties>
</file>