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szCs w:val="32"/>
        </w:rPr>
      </w:pPr>
      <w:r>
        <w:rPr>
          <w:rFonts w:hint="eastAsia"/>
          <w:b/>
          <w:color w:val="auto"/>
          <w:sz w:val="32"/>
          <w:szCs w:val="32"/>
        </w:rPr>
        <w:t>招标工程量清单编制说明</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一、工程概况</w:t>
      </w:r>
    </w:p>
    <w:p>
      <w:pPr>
        <w:spacing w:line="360" w:lineRule="auto"/>
        <w:ind w:firstLine="440" w:firstLineChars="200"/>
        <w:rPr>
          <w:rFonts w:hint="eastAsia" w:asciiTheme="minorEastAsia" w:hAnsiTheme="minorEastAsia"/>
          <w:color w:val="auto"/>
          <w:sz w:val="22"/>
          <w:highlight w:val="none"/>
        </w:rPr>
      </w:pPr>
      <w:r>
        <w:rPr>
          <w:rFonts w:hint="eastAsia" w:asciiTheme="minorEastAsia" w:hAnsiTheme="minorEastAsia"/>
          <w:color w:val="auto"/>
          <w:sz w:val="22"/>
          <w:highlight w:val="none"/>
          <w:lang w:val="en-US" w:eastAsia="zh-CN"/>
        </w:rPr>
        <w:t>本项目为</w:t>
      </w:r>
      <w:r>
        <w:rPr>
          <w:rFonts w:hint="eastAsia" w:asciiTheme="minorEastAsia" w:hAnsiTheme="minorEastAsia"/>
          <w:color w:val="auto"/>
          <w:sz w:val="22"/>
          <w:highlight w:val="none"/>
        </w:rPr>
        <w:t>南京大学仙林校区道路提升（主出入口等局部区域沥青道路出新）</w:t>
      </w:r>
      <w:r>
        <w:rPr>
          <w:rFonts w:hint="eastAsia" w:asciiTheme="minorEastAsia" w:hAnsiTheme="minorEastAsia"/>
          <w:color w:val="auto"/>
          <w:sz w:val="22"/>
          <w:highlight w:val="none"/>
          <w:lang w:eastAsia="zh-CN"/>
        </w:rPr>
        <w:t>，</w:t>
      </w:r>
      <w:r>
        <w:rPr>
          <w:rFonts w:hint="eastAsia" w:asciiTheme="minorEastAsia" w:hAnsiTheme="minorEastAsia"/>
          <w:color w:val="auto"/>
          <w:sz w:val="22"/>
          <w:highlight w:val="none"/>
        </w:rPr>
        <w:t>路面因年久失修及道闸设备安装多方面原因形成如麻面、坑槽、开裂的等各类病害，</w:t>
      </w:r>
      <w:r>
        <w:rPr>
          <w:rFonts w:hint="eastAsia" w:asciiTheme="minorEastAsia" w:hAnsiTheme="minorEastAsia"/>
          <w:color w:val="auto"/>
          <w:sz w:val="22"/>
          <w:highlight w:val="none"/>
          <w:lang w:val="en-US" w:eastAsia="zh-CN"/>
        </w:rPr>
        <w:t>本项目为对沥青路面进行出新</w:t>
      </w:r>
      <w:r>
        <w:rPr>
          <w:rFonts w:hint="eastAsia" w:asciiTheme="minorEastAsia" w:hAnsiTheme="minorEastAsia"/>
          <w:color w:val="auto"/>
          <w:sz w:val="22"/>
          <w:highlight w:val="none"/>
        </w:rPr>
        <w:t>。</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二、工程招标和分包范围</w:t>
      </w:r>
    </w:p>
    <w:p>
      <w:pPr>
        <w:spacing w:line="360" w:lineRule="auto"/>
        <w:ind w:firstLine="440" w:firstLineChars="200"/>
        <w:rPr>
          <w:rFonts w:asciiTheme="minorEastAsia" w:hAnsiTheme="minorEastAsia"/>
          <w:b/>
          <w:i/>
          <w:color w:val="auto"/>
          <w:sz w:val="22"/>
          <w:highlight w:val="none"/>
          <w:u w:val="single"/>
        </w:rPr>
      </w:pPr>
      <w:r>
        <w:rPr>
          <w:rFonts w:hint="eastAsia" w:asciiTheme="minorEastAsia" w:hAnsiTheme="minorEastAsia"/>
          <w:color w:val="auto"/>
          <w:sz w:val="22"/>
          <w:highlight w:val="none"/>
        </w:rPr>
        <w:t>本次改造内容主要</w:t>
      </w:r>
      <w:r>
        <w:rPr>
          <w:rFonts w:hint="eastAsia" w:asciiTheme="minorEastAsia" w:hAnsiTheme="minorEastAsia"/>
          <w:color w:val="auto"/>
          <w:sz w:val="22"/>
          <w:highlight w:val="none"/>
          <w:lang w:val="en-US" w:eastAsia="zh-CN"/>
        </w:rPr>
        <w:t>沥青道路面层</w:t>
      </w:r>
      <w:r>
        <w:rPr>
          <w:rFonts w:hint="eastAsia" w:asciiTheme="minorEastAsia" w:hAnsiTheme="minorEastAsia"/>
          <w:color w:val="auto"/>
          <w:sz w:val="22"/>
          <w:highlight w:val="none"/>
        </w:rPr>
        <w:t>拆除、</w:t>
      </w:r>
      <w:r>
        <w:rPr>
          <w:rFonts w:hint="eastAsia" w:asciiTheme="minorEastAsia" w:hAnsiTheme="minorEastAsia"/>
          <w:color w:val="auto"/>
          <w:sz w:val="22"/>
          <w:highlight w:val="none"/>
          <w:lang w:val="en-US" w:eastAsia="zh-CN"/>
        </w:rPr>
        <w:t>沥青道路面层摊铺、侧平石修复、雨水口修复等</w:t>
      </w:r>
      <w:r>
        <w:rPr>
          <w:rFonts w:hint="eastAsia" w:asciiTheme="minorEastAsia" w:hAnsiTheme="minorEastAsia"/>
          <w:color w:val="auto"/>
          <w:sz w:val="22"/>
          <w:highlight w:val="none"/>
        </w:rPr>
        <w:t>。</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三、编制依据</w:t>
      </w:r>
      <w:bookmarkStart w:id="0" w:name="_GoBack"/>
      <w:bookmarkEnd w:id="0"/>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w:t>
      </w:r>
      <w:r>
        <w:rPr>
          <w:rFonts w:hint="eastAsia"/>
          <w:color w:val="auto"/>
          <w:sz w:val="22"/>
          <w:lang w:val="en-US" w:eastAsia="zh-CN"/>
        </w:rPr>
        <w:t>南京大学2024</w:t>
      </w:r>
      <w:r>
        <w:rPr>
          <w:rFonts w:hint="eastAsia"/>
          <w:color w:val="auto"/>
          <w:sz w:val="22"/>
        </w:rPr>
        <w:t>年</w:t>
      </w:r>
      <w:r>
        <w:rPr>
          <w:rFonts w:hint="eastAsia"/>
          <w:color w:val="auto"/>
          <w:sz w:val="22"/>
          <w:lang w:val="en-US" w:eastAsia="zh-CN"/>
        </w:rPr>
        <w:t>04</w:t>
      </w:r>
      <w:r>
        <w:rPr>
          <w:rFonts w:hint="eastAsia"/>
          <w:color w:val="auto"/>
          <w:sz w:val="22"/>
        </w:rPr>
        <w:t>月</w:t>
      </w:r>
      <w:r>
        <w:rPr>
          <w:rFonts w:hint="eastAsia"/>
          <w:color w:val="auto"/>
          <w:sz w:val="22"/>
          <w:lang w:val="en-US" w:eastAsia="zh-CN"/>
        </w:rPr>
        <w:t>30</w:t>
      </w:r>
      <w:r>
        <w:rPr>
          <w:rFonts w:hint="eastAsia"/>
          <w:color w:val="auto"/>
          <w:sz w:val="22"/>
        </w:rPr>
        <w:t>日</w:t>
      </w:r>
      <w:r>
        <w:rPr>
          <w:rFonts w:hint="eastAsia"/>
          <w:color w:val="auto"/>
          <w:sz w:val="22"/>
          <w:lang w:val="en-US" w:eastAsia="zh-CN"/>
        </w:rPr>
        <w:t>提供的</w:t>
      </w:r>
      <w:r>
        <w:rPr>
          <w:rFonts w:hint="eastAsia" w:asciiTheme="minorEastAsia" w:hAnsiTheme="minorEastAsia"/>
          <w:color w:val="auto"/>
          <w:sz w:val="22"/>
          <w:lang w:val="en-US" w:eastAsia="zh-CN"/>
        </w:rPr>
        <w:t>工程量清单及面积出新图纸</w:t>
      </w:r>
      <w:r>
        <w:rPr>
          <w:rFonts w:hint="eastAsia" w:asciiTheme="minorEastAsia" w:hAnsiTheme="minorEastAsia"/>
          <w:color w:val="auto"/>
          <w:sz w:val="22"/>
        </w:rPr>
        <w:t>。</w:t>
      </w:r>
    </w:p>
    <w:p>
      <w:pPr>
        <w:spacing w:line="360" w:lineRule="auto"/>
        <w:ind w:firstLine="440" w:firstLineChars="200"/>
        <w:rPr>
          <w:rFonts w:asciiTheme="minorEastAsia" w:hAnsiTheme="minorEastAsia"/>
          <w:b/>
          <w:color w:val="auto"/>
          <w:sz w:val="22"/>
        </w:rPr>
      </w:pPr>
      <w:r>
        <w:rPr>
          <w:rFonts w:hint="eastAsia" w:asciiTheme="minorEastAsia" w:hAnsiTheme="minorEastAsia"/>
          <w:color w:val="auto"/>
          <w:sz w:val="22"/>
          <w:lang w:val="en-US" w:eastAsia="zh-CN"/>
        </w:rPr>
        <w:t>2</w:t>
      </w:r>
      <w:r>
        <w:rPr>
          <w:rFonts w:hint="eastAsia" w:asciiTheme="minorEastAsia" w:hAnsiTheme="minorEastAsia"/>
          <w:color w:val="auto"/>
          <w:sz w:val="22"/>
        </w:rPr>
        <w:t>、计量规范：</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③《</w:t>
      </w:r>
      <w:r>
        <w:rPr>
          <w:rFonts w:hint="eastAsia" w:asciiTheme="minorEastAsia" w:hAnsiTheme="minorEastAsia"/>
          <w:color w:val="auto"/>
          <w:sz w:val="22"/>
          <w:lang w:eastAsia="zh-CN"/>
        </w:rPr>
        <w:t>市政工程</w:t>
      </w:r>
      <w:r>
        <w:rPr>
          <w:rFonts w:hint="eastAsia" w:asciiTheme="minorEastAsia" w:hAnsiTheme="minorEastAsia"/>
          <w:color w:val="auto"/>
          <w:sz w:val="22"/>
        </w:rPr>
        <w:t>工程量计算规范》（GB50</w:t>
      </w:r>
      <w:r>
        <w:rPr>
          <w:rFonts w:hint="eastAsia" w:asciiTheme="minorEastAsia" w:hAnsiTheme="minorEastAsia"/>
          <w:color w:val="auto"/>
          <w:sz w:val="22"/>
          <w:lang w:val="en-US" w:eastAsia="zh-CN"/>
        </w:rPr>
        <w:t>857</w:t>
      </w:r>
      <w:r>
        <w:rPr>
          <w:rFonts w:hint="eastAsia" w:asciiTheme="minorEastAsia" w:hAnsiTheme="minorEastAsia"/>
          <w:color w:val="auto"/>
          <w:sz w:val="22"/>
        </w:rPr>
        <w:t>-2013）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④</w:t>
      </w:r>
      <w:r>
        <w:rPr>
          <w:rFonts w:hint="eastAsia" w:asciiTheme="minorEastAsia" w:hAnsiTheme="minorEastAsia"/>
          <w:color w:val="auto"/>
          <w:sz w:val="22"/>
        </w:rPr>
        <w:t>现行相关补充或调整文件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3</w:t>
      </w:r>
      <w:r>
        <w:rPr>
          <w:rFonts w:hint="eastAsia" w:asciiTheme="minorEastAsia" w:hAnsiTheme="minorEastAsia"/>
          <w:color w:val="auto"/>
          <w:sz w:val="22"/>
        </w:rPr>
        <w:t>、与本工程项目有关的标准、施工规范与验收规范。</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四、取费标准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rPr>
        <w:t>4、</w:t>
      </w:r>
      <w:r>
        <w:rPr>
          <w:rFonts w:hint="eastAsia" w:asciiTheme="minorEastAsia" w:hAnsiTheme="minorEastAsia"/>
          <w:color w:val="auto"/>
          <w:sz w:val="22"/>
          <w:highlight w:val="none"/>
        </w:rPr>
        <w:t>《省住房城乡建设厅关于建筑工人实名制费用计取方法的公告》〔2019〕第19号</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pPr>
        <w:spacing w:line="360" w:lineRule="auto"/>
        <w:ind w:firstLine="440" w:firstLineChars="200"/>
        <w:rPr>
          <w:rFonts w:hint="default" w:asciiTheme="minorEastAsia" w:hAnsiTheme="minorEastAsia"/>
          <w:color w:val="auto"/>
          <w:sz w:val="22"/>
          <w:lang w:val="en-US" w:eastAsia="zh-CN"/>
        </w:rPr>
      </w:pPr>
      <w:r>
        <w:rPr>
          <w:rFonts w:hint="eastAsia" w:asciiTheme="minorEastAsia" w:hAnsiTheme="minorEastAsia"/>
          <w:color w:val="auto"/>
          <w:sz w:val="22"/>
        </w:rPr>
        <w:t>（1）暂列金额：</w:t>
      </w:r>
      <w:r>
        <w:rPr>
          <w:rFonts w:hint="eastAsia" w:asciiTheme="minorEastAsia" w:hAnsiTheme="minorEastAsia"/>
          <w:color w:val="auto"/>
          <w:sz w:val="22"/>
          <w:highlight w:val="none"/>
          <w:lang w:val="en-US" w:eastAsia="zh-CN"/>
        </w:rPr>
        <w:t>20021.71</w:t>
      </w:r>
      <w:r>
        <w:rPr>
          <w:rFonts w:hint="eastAsia" w:asciiTheme="minorEastAsia" w:hAnsiTheme="minorEastAsia"/>
          <w:color w:val="auto"/>
          <w:sz w:val="22"/>
          <w:lang w:val="en-US" w:eastAsia="zh-CN"/>
        </w:rPr>
        <w:t>元</w:t>
      </w:r>
    </w:p>
    <w:p>
      <w:pPr>
        <w:spacing w:line="360" w:lineRule="auto"/>
        <w:ind w:firstLine="440" w:firstLineChars="200"/>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rPr>
        <w:t>（2）暂估价：</w:t>
      </w:r>
      <w:r>
        <w:rPr>
          <w:rFonts w:hint="eastAsia" w:asciiTheme="minorEastAsia" w:hAnsiTheme="minorEastAsia"/>
          <w:color w:val="auto"/>
          <w:sz w:val="22"/>
          <w:lang w:val="en-US" w:eastAsia="zh-CN"/>
        </w:rPr>
        <w:t>无</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五、图纸及工程量计算中的相关说明</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1、通用部分</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（1）工程量清单应与招标文件结合起来查阅与理解。工程量清单中所描述的项目特征仅为招标人对该分部分项目工程特征的概述，而非是工程特征的全面描述，报价时必须按设计图纸及相关的国家规范的要求。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hint="eastAsia"/>
          <w:color w:val="auto"/>
          <w:sz w:val="22"/>
        </w:rPr>
      </w:pPr>
      <w:r>
        <w:rPr>
          <w:rFonts w:hint="eastAsia"/>
          <w:color w:val="auto"/>
          <w:sz w:val="22"/>
          <w:lang w:eastAsia="zh-CN"/>
        </w:rPr>
        <w:t>（</w:t>
      </w:r>
      <w:r>
        <w:rPr>
          <w:rFonts w:hint="eastAsia"/>
          <w:color w:val="auto"/>
          <w:sz w:val="22"/>
          <w:lang w:val="en-US" w:eastAsia="zh-CN"/>
        </w:rPr>
        <w:t>2</w:t>
      </w:r>
      <w:r>
        <w:rPr>
          <w:rFonts w:hint="eastAsia"/>
          <w:color w:val="auto"/>
          <w:sz w:val="22"/>
          <w:lang w:eastAsia="zh-CN"/>
        </w:rPr>
        <w:t>）</w:t>
      </w:r>
      <w:r>
        <w:rPr>
          <w:rFonts w:hint="eastAsia"/>
          <w:color w:val="auto"/>
          <w:sz w:val="22"/>
        </w:rPr>
        <w:t>本工程所用砂浆皆为预拌砂浆，现场是否使用干拌或湿拌砂浆由投标人自行考虑，结算时不调整。</w:t>
      </w:r>
    </w:p>
    <w:p>
      <w:pPr>
        <w:spacing w:line="360" w:lineRule="auto"/>
        <w:ind w:firstLine="440" w:firstLineChars="200"/>
        <w:rPr>
          <w:rFonts w:hint="eastAsia"/>
          <w:color w:val="auto"/>
          <w:sz w:val="22"/>
        </w:rPr>
      </w:pPr>
      <w:r>
        <w:rPr>
          <w:rFonts w:hint="eastAsia"/>
          <w:color w:val="auto"/>
          <w:sz w:val="22"/>
          <w:lang w:eastAsia="zh-CN"/>
        </w:rPr>
        <w:t>（</w:t>
      </w:r>
      <w:r>
        <w:rPr>
          <w:rFonts w:hint="eastAsia"/>
          <w:color w:val="auto"/>
          <w:sz w:val="22"/>
          <w:lang w:val="en-US" w:eastAsia="zh-CN"/>
        </w:rPr>
        <w:t>3</w:t>
      </w:r>
      <w:r>
        <w:rPr>
          <w:rFonts w:hint="eastAsia"/>
          <w:color w:val="auto"/>
          <w:sz w:val="22"/>
          <w:lang w:eastAsia="zh-CN"/>
        </w:rPr>
        <w:t>）</w:t>
      </w:r>
      <w:r>
        <w:rPr>
          <w:rFonts w:hint="eastAsia"/>
          <w:color w:val="auto"/>
          <w:sz w:val="22"/>
        </w:rPr>
        <w:t>大型机械进出场费用投标人综合考虑，结算时不再调整。</w:t>
      </w:r>
    </w:p>
    <w:p>
      <w:pPr>
        <w:spacing w:line="360" w:lineRule="auto"/>
        <w:ind w:firstLine="440" w:firstLineChars="200"/>
        <w:rPr>
          <w:rFonts w:hint="eastAsia"/>
          <w:color w:val="auto"/>
          <w:sz w:val="22"/>
        </w:rPr>
      </w:pPr>
      <w:r>
        <w:rPr>
          <w:rFonts w:hint="eastAsia"/>
          <w:color w:val="auto"/>
          <w:sz w:val="22"/>
          <w:lang w:eastAsia="zh-CN"/>
        </w:rPr>
        <w:t>（</w:t>
      </w:r>
      <w:r>
        <w:rPr>
          <w:rFonts w:hint="eastAsia"/>
          <w:color w:val="auto"/>
          <w:sz w:val="22"/>
          <w:lang w:val="en-US" w:eastAsia="zh-CN"/>
        </w:rPr>
        <w:t>4</w:t>
      </w:r>
      <w:r>
        <w:rPr>
          <w:rFonts w:hint="eastAsia"/>
          <w:color w:val="auto"/>
          <w:sz w:val="22"/>
          <w:lang w:eastAsia="zh-CN"/>
        </w:rPr>
        <w:t>）</w:t>
      </w:r>
      <w:r>
        <w:rPr>
          <w:rFonts w:hint="eastAsia"/>
          <w:color w:val="auto"/>
          <w:sz w:val="22"/>
        </w:rPr>
        <w:t>投标人在投标报价时结合现场实际情况考虑夜间施工及围挡防护安全，结算时不再调整。</w:t>
      </w:r>
    </w:p>
    <w:p>
      <w:pPr>
        <w:spacing w:line="360" w:lineRule="auto"/>
        <w:ind w:firstLine="440" w:firstLineChars="200"/>
        <w:rPr>
          <w:rFonts w:hint="eastAsia"/>
          <w:color w:val="auto"/>
          <w:sz w:val="22"/>
          <w:lang w:val="zh-CN"/>
        </w:rPr>
      </w:pPr>
      <w:r>
        <w:rPr>
          <w:rFonts w:hint="eastAsia"/>
          <w:color w:val="auto"/>
          <w:sz w:val="22"/>
          <w:lang w:eastAsia="zh-CN"/>
        </w:rPr>
        <w:t>（</w:t>
      </w:r>
      <w:r>
        <w:rPr>
          <w:rFonts w:hint="eastAsia"/>
          <w:color w:val="auto"/>
          <w:sz w:val="22"/>
          <w:lang w:val="en-US" w:eastAsia="zh-CN"/>
        </w:rPr>
        <w:t>5</w:t>
      </w:r>
      <w:r>
        <w:rPr>
          <w:rFonts w:hint="eastAsia"/>
          <w:color w:val="auto"/>
          <w:sz w:val="22"/>
          <w:lang w:eastAsia="zh-CN"/>
        </w:rPr>
        <w:t>）</w:t>
      </w:r>
      <w:r>
        <w:rPr>
          <w:rFonts w:hint="eastAsia"/>
          <w:color w:val="auto"/>
          <w:sz w:val="22"/>
          <w:lang w:val="zh-CN"/>
        </w:rPr>
        <w:t>措施费项目投标单位可自行增添内容，自行报价，未计放部分按优惠考虑，结算时不再调整，投标人在报价中应充分考虑所涉及的各项措施费及风险因素后再进行报价，</w:t>
      </w:r>
      <w:r>
        <w:rPr>
          <w:rFonts w:hint="eastAsia"/>
          <w:color w:val="auto"/>
          <w:sz w:val="22"/>
        </w:rPr>
        <w:t>不可竞争费按规定报价。</w:t>
      </w:r>
    </w:p>
    <w:p>
      <w:pPr>
        <w:spacing w:line="360" w:lineRule="auto"/>
        <w:ind w:firstLine="440" w:firstLineChars="200"/>
        <w:rPr>
          <w:rFonts w:hint="eastAsia"/>
          <w:color w:val="auto"/>
          <w:sz w:val="22"/>
          <w:lang w:val="zh-CN"/>
        </w:rPr>
      </w:pPr>
      <w:r>
        <w:rPr>
          <w:rFonts w:hint="eastAsia"/>
          <w:color w:val="auto"/>
          <w:sz w:val="22"/>
          <w:lang w:eastAsia="zh-CN"/>
        </w:rPr>
        <w:t>（</w:t>
      </w:r>
      <w:r>
        <w:rPr>
          <w:rFonts w:hint="eastAsia"/>
          <w:color w:val="auto"/>
          <w:sz w:val="22"/>
          <w:lang w:val="en-US" w:eastAsia="zh-CN"/>
        </w:rPr>
        <w:t>6</w:t>
      </w:r>
      <w:r>
        <w:rPr>
          <w:rFonts w:hint="eastAsia"/>
          <w:color w:val="auto"/>
          <w:sz w:val="22"/>
          <w:lang w:eastAsia="zh-CN"/>
        </w:rPr>
        <w:t>）</w:t>
      </w:r>
      <w:r>
        <w:rPr>
          <w:rFonts w:hint="eastAsia"/>
          <w:color w:val="auto"/>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auto"/>
          <w:sz w:val="22"/>
        </w:rPr>
      </w:pPr>
      <w:r>
        <w:rPr>
          <w:rFonts w:hint="eastAsia"/>
          <w:color w:val="auto"/>
          <w:sz w:val="22"/>
          <w:lang w:eastAsia="zh-CN"/>
        </w:rPr>
        <w:t>（</w:t>
      </w:r>
      <w:r>
        <w:rPr>
          <w:rFonts w:hint="eastAsia"/>
          <w:color w:val="auto"/>
          <w:sz w:val="22"/>
          <w:lang w:val="en-US" w:eastAsia="zh-CN"/>
        </w:rPr>
        <w:t>7</w:t>
      </w:r>
      <w:r>
        <w:rPr>
          <w:rFonts w:hint="eastAsia"/>
          <w:color w:val="auto"/>
          <w:sz w:val="22"/>
          <w:lang w:eastAsia="zh-CN"/>
        </w:rPr>
        <w:t>）</w:t>
      </w:r>
      <w:r>
        <w:rPr>
          <w:rFonts w:hint="eastAsia"/>
          <w:color w:val="auto"/>
          <w:sz w:val="22"/>
        </w:rPr>
        <w:t>投标人应清单中的每一个项目进行报价（包括综合单价及合价），如漏报或少报项目，则视为其费用已含在其它项目的综合单价或合价中，结算时不调整。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auto"/>
          <w:sz w:val="22"/>
        </w:rPr>
      </w:pPr>
      <w:r>
        <w:rPr>
          <w:rFonts w:hint="eastAsia"/>
          <w:color w:val="auto"/>
          <w:sz w:val="22"/>
          <w:lang w:eastAsia="zh-CN"/>
        </w:rPr>
        <w:t>（</w:t>
      </w:r>
      <w:r>
        <w:rPr>
          <w:rFonts w:hint="eastAsia"/>
          <w:color w:val="auto"/>
          <w:sz w:val="22"/>
          <w:lang w:val="en-US" w:eastAsia="zh-CN"/>
        </w:rPr>
        <w:t>8</w:t>
      </w:r>
      <w:r>
        <w:rPr>
          <w:rFonts w:hint="eastAsia"/>
          <w:color w:val="auto"/>
          <w:sz w:val="22"/>
          <w:lang w:eastAsia="zh-CN"/>
        </w:rPr>
        <w:t>）</w:t>
      </w:r>
      <w:r>
        <w:rPr>
          <w:rFonts w:hint="eastAsia"/>
          <w:color w:val="auto"/>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auto"/>
          <w:sz w:val="22"/>
          <w:szCs w:val="22"/>
          <w:lang w:val="zh-CN" w:eastAsia="zh-CN"/>
        </w:rPr>
      </w:pPr>
      <w:r>
        <w:rPr>
          <w:rFonts w:hint="eastAsia"/>
          <w:color w:val="auto"/>
          <w:sz w:val="22"/>
          <w:szCs w:val="22"/>
          <w:lang w:val="en-US" w:eastAsia="zh-CN"/>
        </w:rPr>
        <w:t>（9）</w:t>
      </w:r>
      <w:r>
        <w:rPr>
          <w:rFonts w:hint="eastAsia"/>
          <w:b/>
          <w:bCs/>
          <w:color w:val="auto"/>
          <w:sz w:val="22"/>
          <w:szCs w:val="22"/>
          <w:lang w:val="zh-CN" w:eastAsia="zh-CN"/>
        </w:rPr>
        <w:t>施工现场既有管线设施保护、</w:t>
      </w:r>
      <w:r>
        <w:rPr>
          <w:rFonts w:hint="eastAsia"/>
          <w:color w:val="auto"/>
          <w:sz w:val="22"/>
          <w:szCs w:val="22"/>
          <w:lang w:val="zh-CN" w:eastAsia="zh-CN"/>
        </w:rPr>
        <w:t>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asciiTheme="minorEastAsia" w:hAnsiTheme="minorEastAsia"/>
          <w:color w:val="auto"/>
          <w:sz w:val="22"/>
          <w:highlight w:val="yellow"/>
        </w:rPr>
      </w:pPr>
      <w:r>
        <w:rPr>
          <w:rFonts w:hint="eastAsia"/>
          <w:color w:val="auto"/>
          <w:sz w:val="22"/>
          <w:szCs w:val="22"/>
          <w:lang w:val="en-US" w:eastAsia="zh-CN"/>
        </w:rPr>
        <w:t>（11）</w:t>
      </w:r>
      <w:r>
        <w:rPr>
          <w:rFonts w:hint="eastAsia"/>
          <w:color w:val="auto"/>
          <w:sz w:val="22"/>
          <w:szCs w:val="22"/>
          <w:lang w:val="zh-CN" w:eastAsia="zh-CN"/>
        </w:rPr>
        <w:t>各投标人在进行综合报价时必须结合招标文件中的相关条款及清单描述进行报价，清单子目中未能对各节点进行完全性描述的必须结合施工详细节点进行报价，否则视为已计入相应项目综合单价内，中标后将不调整综合单价。若招标文件中相关</w:t>
      </w:r>
      <w:r>
        <w:rPr>
          <w:rFonts w:hint="eastAsia"/>
          <w:color w:val="auto"/>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eastAsia"/>
          <w:color w:val="auto"/>
          <w:sz w:val="22"/>
          <w:lang w:val="en-US" w:eastAsia="zh-CN"/>
        </w:rPr>
      </w:pPr>
      <w:r>
        <w:rPr>
          <w:rFonts w:hint="eastAsia"/>
          <w:color w:val="auto"/>
          <w:sz w:val="22"/>
        </w:rPr>
        <w:t>2、</w:t>
      </w:r>
      <w:r>
        <w:rPr>
          <w:rFonts w:hint="eastAsia"/>
          <w:color w:val="auto"/>
          <w:sz w:val="22"/>
          <w:lang w:val="en-US" w:eastAsia="zh-CN"/>
        </w:rPr>
        <w:t>道路工程</w:t>
      </w:r>
    </w:p>
    <w:p>
      <w:pPr>
        <w:spacing w:line="360" w:lineRule="auto"/>
        <w:ind w:firstLine="440" w:firstLineChars="200"/>
        <w:rPr>
          <w:rFonts w:hint="eastAsia"/>
          <w:color w:val="auto"/>
          <w:sz w:val="22"/>
          <w:szCs w:val="22"/>
          <w:lang w:val="en-US" w:eastAsia="zh-CN"/>
        </w:rPr>
      </w:pPr>
      <w:r>
        <w:rPr>
          <w:rFonts w:hint="eastAsia"/>
          <w:color w:val="auto"/>
          <w:sz w:val="22"/>
          <w:szCs w:val="22"/>
          <w:lang w:val="en-US" w:eastAsia="zh-CN"/>
        </w:rPr>
        <w:t>（1）沥青路面拆除为铣刨机铣刨；</w:t>
      </w:r>
    </w:p>
    <w:p>
      <w:pPr>
        <w:spacing w:line="360" w:lineRule="auto"/>
        <w:ind w:firstLine="440" w:firstLineChars="200"/>
        <w:rPr>
          <w:rFonts w:hint="eastAsia"/>
          <w:color w:val="auto"/>
          <w:sz w:val="22"/>
          <w:szCs w:val="22"/>
          <w:lang w:val="en-US" w:eastAsia="zh-CN"/>
        </w:rPr>
      </w:pPr>
      <w:r>
        <w:rPr>
          <w:rFonts w:hint="eastAsia"/>
          <w:color w:val="auto"/>
          <w:sz w:val="22"/>
          <w:szCs w:val="22"/>
          <w:lang w:val="en-US" w:eastAsia="zh-CN"/>
        </w:rPr>
        <w:t>（2）病害路面拆除厚度，沥青6cm；</w:t>
      </w:r>
    </w:p>
    <w:p>
      <w:pPr>
        <w:spacing w:line="360" w:lineRule="auto"/>
        <w:ind w:firstLine="440" w:firstLineChars="200"/>
        <w:rPr>
          <w:rFonts w:hint="eastAsia"/>
          <w:color w:val="auto"/>
          <w:sz w:val="22"/>
          <w:szCs w:val="22"/>
          <w:lang w:val="en-US" w:eastAsia="zh-CN"/>
        </w:rPr>
      </w:pPr>
      <w:r>
        <w:rPr>
          <w:rFonts w:hint="eastAsia"/>
          <w:color w:val="auto"/>
          <w:sz w:val="22"/>
          <w:szCs w:val="22"/>
          <w:lang w:val="en-US" w:eastAsia="zh-CN"/>
        </w:rPr>
        <w:t>（3）路面面层摊铺平均厚度6cm，细粒式沥青砼(SBS改性沥青+粗集料玄武岩)；</w:t>
      </w:r>
    </w:p>
    <w:p>
      <w:pPr>
        <w:spacing w:line="360" w:lineRule="auto"/>
        <w:ind w:firstLine="440" w:firstLineChars="200"/>
        <w:rPr>
          <w:rFonts w:hint="eastAsia"/>
          <w:color w:val="auto"/>
          <w:sz w:val="22"/>
          <w:szCs w:val="22"/>
          <w:lang w:val="en-US" w:eastAsia="zh-CN"/>
        </w:rPr>
      </w:pPr>
      <w:r>
        <w:rPr>
          <w:rFonts w:hint="eastAsia"/>
          <w:color w:val="auto"/>
          <w:sz w:val="22"/>
          <w:szCs w:val="22"/>
          <w:lang w:val="en-US" w:eastAsia="zh-CN"/>
        </w:rPr>
        <w:t>（4）雨水口工程量为暂估，工程量结算时按实调整，综合单价结算时不调整；</w:t>
      </w:r>
    </w:p>
    <w:p>
      <w:pPr>
        <w:spacing w:line="360" w:lineRule="auto"/>
        <w:ind w:firstLine="440" w:firstLineChars="200"/>
        <w:rPr>
          <w:rFonts w:hint="eastAsia"/>
          <w:color w:val="auto"/>
          <w:sz w:val="22"/>
          <w:szCs w:val="22"/>
          <w:lang w:val="en-US" w:eastAsia="zh-CN"/>
        </w:rPr>
      </w:pPr>
      <w:r>
        <w:rPr>
          <w:rFonts w:hint="eastAsia"/>
          <w:color w:val="auto"/>
          <w:sz w:val="22"/>
          <w:szCs w:val="22"/>
          <w:lang w:val="en-US" w:eastAsia="zh-CN"/>
        </w:rPr>
        <w:t>（5）侧平石为原侧平石拆除利旧使用，工程量结算时按实调整，综合单价结算时不调整。</w:t>
      </w:r>
    </w:p>
    <w:p>
      <w:pPr>
        <w:spacing w:line="360" w:lineRule="auto"/>
        <w:ind w:firstLine="663" w:firstLineChars="300"/>
        <w:rPr>
          <w:rFonts w:asciiTheme="minorEastAsia" w:hAnsiTheme="minorEastAsia"/>
          <w:b/>
          <w:color w:val="auto"/>
          <w:sz w:val="22"/>
        </w:rPr>
      </w:pPr>
      <w:r>
        <w:rPr>
          <w:rFonts w:hint="eastAsia" w:asciiTheme="minorEastAsia" w:hAnsiTheme="minorEastAsia"/>
          <w:b/>
          <w:color w:val="auto"/>
          <w:sz w:val="22"/>
        </w:rPr>
        <w:t>六、主要材料设备</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（一）投标人负责采购的主要材料设备</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rPr>
        <w:t>本项目主要材料品牌推荐表如下：</w:t>
      </w:r>
    </w:p>
    <w:tbl>
      <w:tblPr>
        <w:tblStyle w:val="8"/>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36"/>
        <w:gridCol w:w="1924"/>
        <w:gridCol w:w="362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序号</w:t>
            </w:r>
          </w:p>
        </w:tc>
        <w:tc>
          <w:tcPr>
            <w:tcW w:w="1014"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材料设备名称</w:t>
            </w:r>
          </w:p>
        </w:tc>
        <w:tc>
          <w:tcPr>
            <w:tcW w:w="1063"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推荐品牌（系列）</w:t>
            </w:r>
          </w:p>
        </w:tc>
        <w:tc>
          <w:tcPr>
            <w:tcW w:w="2001"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制造商名称</w:t>
            </w:r>
          </w:p>
        </w:tc>
        <w:tc>
          <w:tcPr>
            <w:tcW w:w="542"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2</w:t>
            </w:r>
          </w:p>
        </w:tc>
        <w:tc>
          <w:tcPr>
            <w:tcW w:w="1014" w:type="pct"/>
            <w:vMerge w:val="restart"/>
            <w:vAlign w:val="center"/>
          </w:tcPr>
          <w:p>
            <w:pPr>
              <w:spacing w:line="360" w:lineRule="auto"/>
              <w:jc w:val="center"/>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水泥</w:t>
            </w:r>
          </w:p>
        </w:tc>
        <w:tc>
          <w:tcPr>
            <w:tcW w:w="1063"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海螺</w:t>
            </w:r>
          </w:p>
        </w:tc>
        <w:tc>
          <w:tcPr>
            <w:tcW w:w="2001"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安徽海螺水泥股份有限公司</w:t>
            </w:r>
          </w:p>
        </w:tc>
        <w:tc>
          <w:tcPr>
            <w:tcW w:w="542" w:type="pct"/>
            <w:vAlign w:val="center"/>
          </w:tcPr>
          <w:p>
            <w:pPr>
              <w:spacing w:line="360" w:lineRule="auto"/>
              <w:jc w:val="center"/>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auto"/>
                <w:sz w:val="22"/>
              </w:rPr>
            </w:pPr>
          </w:p>
        </w:tc>
        <w:tc>
          <w:tcPr>
            <w:tcW w:w="1014" w:type="pct"/>
            <w:vMerge w:val="continue"/>
            <w:vAlign w:val="center"/>
          </w:tcPr>
          <w:p>
            <w:pPr>
              <w:spacing w:line="360" w:lineRule="auto"/>
              <w:jc w:val="center"/>
              <w:rPr>
                <w:rFonts w:asciiTheme="minorEastAsia" w:hAnsiTheme="minorEastAsia"/>
                <w:color w:val="auto"/>
                <w:sz w:val="22"/>
              </w:rPr>
            </w:pPr>
          </w:p>
        </w:tc>
        <w:tc>
          <w:tcPr>
            <w:tcW w:w="1063"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鹤林</w:t>
            </w:r>
          </w:p>
        </w:tc>
        <w:tc>
          <w:tcPr>
            <w:tcW w:w="2001"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江苏鹤林水泥有限公司</w:t>
            </w:r>
          </w:p>
        </w:tc>
        <w:tc>
          <w:tcPr>
            <w:tcW w:w="542" w:type="pct"/>
            <w:vAlign w:val="center"/>
          </w:tcPr>
          <w:p>
            <w:pPr>
              <w:spacing w:line="360" w:lineRule="auto"/>
              <w:jc w:val="center"/>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auto"/>
                <w:sz w:val="22"/>
              </w:rPr>
            </w:pPr>
          </w:p>
        </w:tc>
        <w:tc>
          <w:tcPr>
            <w:tcW w:w="1014" w:type="pct"/>
            <w:vMerge w:val="continue"/>
            <w:vAlign w:val="center"/>
          </w:tcPr>
          <w:p>
            <w:pPr>
              <w:spacing w:line="360" w:lineRule="auto"/>
              <w:jc w:val="center"/>
              <w:rPr>
                <w:rFonts w:asciiTheme="minorEastAsia" w:hAnsiTheme="minorEastAsia"/>
                <w:color w:val="auto"/>
                <w:sz w:val="22"/>
              </w:rPr>
            </w:pPr>
          </w:p>
        </w:tc>
        <w:tc>
          <w:tcPr>
            <w:tcW w:w="1063"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中联</w:t>
            </w:r>
          </w:p>
        </w:tc>
        <w:tc>
          <w:tcPr>
            <w:tcW w:w="2001" w:type="pct"/>
            <w:vAlign w:val="center"/>
          </w:tcPr>
          <w:p>
            <w:pPr>
              <w:spacing w:line="360" w:lineRule="auto"/>
              <w:jc w:val="center"/>
              <w:rPr>
                <w:rFonts w:asciiTheme="minorEastAsia" w:hAnsiTheme="minorEastAsia"/>
                <w:color w:val="auto"/>
                <w:sz w:val="22"/>
              </w:rPr>
            </w:pPr>
            <w:r>
              <w:rPr>
                <w:rFonts w:hint="eastAsia" w:asciiTheme="minorEastAsia" w:hAnsiTheme="minorEastAsia"/>
                <w:color w:val="auto"/>
                <w:sz w:val="22"/>
              </w:rPr>
              <w:t>中国联合水泥集团有限公司</w:t>
            </w:r>
          </w:p>
        </w:tc>
        <w:tc>
          <w:tcPr>
            <w:tcW w:w="542" w:type="pct"/>
            <w:vAlign w:val="center"/>
          </w:tcPr>
          <w:p>
            <w:pPr>
              <w:spacing w:line="360" w:lineRule="auto"/>
              <w:jc w:val="center"/>
              <w:rPr>
                <w:rFonts w:asciiTheme="minorEastAsia" w:hAnsiTheme="minorEastAsia"/>
                <w:color w:val="auto"/>
                <w:sz w:val="22"/>
              </w:rPr>
            </w:pPr>
          </w:p>
        </w:tc>
      </w:tr>
    </w:tbl>
    <w:p>
      <w:pPr>
        <w:keepNext w:val="0"/>
        <w:keepLines w:val="0"/>
        <w:pageBreakBefore w:val="0"/>
        <w:widowControl w:val="0"/>
        <w:kinsoku/>
        <w:wordWrap/>
        <w:overflowPunct/>
        <w:topLinePunct w:val="0"/>
        <w:autoSpaceDE/>
        <w:autoSpaceDN/>
        <w:bidi w:val="0"/>
        <w:adjustRightInd/>
        <w:snapToGrid/>
        <w:jc w:val="center"/>
        <w:textAlignment w:val="auto"/>
        <w:rPr>
          <w:color w:val="auto"/>
        </w:rPr>
      </w:pP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2、主要材料技术标准和质量要求如下：</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color w:val="auto"/>
          <w:sz w:val="22"/>
        </w:rPr>
      </w:pPr>
      <w:r>
        <w:rPr>
          <w:rFonts w:hint="eastAsia" w:asciiTheme="minorEastAsia" w:hAnsiTheme="minorEastAsia"/>
          <w:b/>
          <w:color w:val="auto"/>
          <w:sz w:val="22"/>
        </w:rPr>
        <w:t>招标人自行采购的主要材料设备</w:t>
      </w:r>
    </w:p>
    <w:p>
      <w:pPr>
        <w:spacing w:line="360" w:lineRule="auto"/>
        <w:ind w:firstLine="440" w:firstLineChars="200"/>
        <w:rPr>
          <w:rFonts w:hint="default" w:asciiTheme="minorEastAsia" w:hAnsiTheme="minorEastAsia" w:eastAsiaTheme="minorEastAsia"/>
          <w:b w:val="0"/>
          <w:bCs/>
          <w:color w:val="auto"/>
          <w:sz w:val="22"/>
          <w:lang w:val="en-US" w:eastAsia="zh-CN"/>
        </w:rPr>
      </w:pPr>
      <w:r>
        <w:rPr>
          <w:rFonts w:hint="eastAsia" w:asciiTheme="minorEastAsia" w:hAnsiTheme="minorEastAsia"/>
          <w:b w:val="0"/>
          <w:bCs/>
          <w:color w:val="auto"/>
          <w:sz w:val="22"/>
          <w:lang w:val="en-US" w:eastAsia="zh-CN"/>
        </w:rPr>
        <w:t xml:space="preserve"> 详见招标清单</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七、其他说明</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投标人应认真理解和熟悉招标文件，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2、工程量清单中每一项目的工作内容，分部分项工程量清单中“项目特征”内容描述不详尽的，以《建设工程工程量清单计价规范》（GB50500-2013）及相关规范为准，施工材料及施工方法均须满足规范要求。</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3、工程量清单报价应包括完成招标文件规定的工程量清单项目所需的全部费用，其内含：</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①包括分部分项工程费、措施费、其它项目费和规费、税金；</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②包括完成每分部分项工程所含全部工程内容的费用；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③包括完成每项工程内容所需的全部费用；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④工程量清单项目中没有体现的，施工中又必须发生的工程内容所需的费用；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⑤考虑风险因素而调整的费用；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⑥因招标人在招标文件中的要求而发生的费用。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5、若招标文件中相关条款及清单描述有冲突的，投标人应在“澄清答疑”环节中向招标人提出，招标人将在“澄清答疑”环节中答复；投标人未在“澄清答疑”环节提出的，则最终解释权归属于招标人。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47993"/>
    <w:multiLevelType w:val="singleLevel"/>
    <w:tmpl w:val="82D47993"/>
    <w:lvl w:ilvl="0" w:tentative="0">
      <w:start w:val="1"/>
      <w:numFmt w:val="decimal"/>
      <w:suff w:val="nothing"/>
      <w:lvlText w:val="%1、"/>
      <w:lvlJc w:val="left"/>
    </w:lvl>
  </w:abstractNum>
  <w:abstractNum w:abstractNumId="1">
    <w:nsid w:val="F0D336BE"/>
    <w:multiLevelType w:val="singleLevel"/>
    <w:tmpl w:val="F0D336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jYzZlZTg4MzU4ODkyMzVkNjJiNTU2YjY4MmNlOTY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12DE3"/>
    <w:rsid w:val="00C2544E"/>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7B7436"/>
    <w:rsid w:val="01C0753F"/>
    <w:rsid w:val="01DB6127"/>
    <w:rsid w:val="03B92498"/>
    <w:rsid w:val="04275653"/>
    <w:rsid w:val="0430275A"/>
    <w:rsid w:val="046E6DDE"/>
    <w:rsid w:val="04F35535"/>
    <w:rsid w:val="062C51A3"/>
    <w:rsid w:val="06F832D7"/>
    <w:rsid w:val="07372051"/>
    <w:rsid w:val="07A93248"/>
    <w:rsid w:val="07DD49A7"/>
    <w:rsid w:val="089D5EE4"/>
    <w:rsid w:val="0A04407F"/>
    <w:rsid w:val="0B291CB1"/>
    <w:rsid w:val="0B5A61E5"/>
    <w:rsid w:val="0BA650B0"/>
    <w:rsid w:val="0BC1638D"/>
    <w:rsid w:val="0C2D3A23"/>
    <w:rsid w:val="0C9F66CF"/>
    <w:rsid w:val="0DB241E0"/>
    <w:rsid w:val="0DF162E9"/>
    <w:rsid w:val="0E8A515C"/>
    <w:rsid w:val="0EB65F51"/>
    <w:rsid w:val="0F07055B"/>
    <w:rsid w:val="0F5C08A7"/>
    <w:rsid w:val="0F625791"/>
    <w:rsid w:val="0FD22917"/>
    <w:rsid w:val="1003364F"/>
    <w:rsid w:val="11032FA4"/>
    <w:rsid w:val="12EF1A32"/>
    <w:rsid w:val="12F17558"/>
    <w:rsid w:val="13960100"/>
    <w:rsid w:val="139A7BF0"/>
    <w:rsid w:val="14944073"/>
    <w:rsid w:val="15E769F0"/>
    <w:rsid w:val="16157A01"/>
    <w:rsid w:val="16227A29"/>
    <w:rsid w:val="1767603B"/>
    <w:rsid w:val="18115FA7"/>
    <w:rsid w:val="186F08B9"/>
    <w:rsid w:val="18C03D15"/>
    <w:rsid w:val="1912647A"/>
    <w:rsid w:val="19BF05FB"/>
    <w:rsid w:val="1A411645"/>
    <w:rsid w:val="1AE300CE"/>
    <w:rsid w:val="1B010554"/>
    <w:rsid w:val="1B28788F"/>
    <w:rsid w:val="1C744D56"/>
    <w:rsid w:val="1D266050"/>
    <w:rsid w:val="1D5C4168"/>
    <w:rsid w:val="1EB53B30"/>
    <w:rsid w:val="1EBF675C"/>
    <w:rsid w:val="1F332CA6"/>
    <w:rsid w:val="1F38650F"/>
    <w:rsid w:val="24A00DDE"/>
    <w:rsid w:val="24FA2B76"/>
    <w:rsid w:val="25B12B77"/>
    <w:rsid w:val="25C94365"/>
    <w:rsid w:val="25E42F4C"/>
    <w:rsid w:val="26661BB3"/>
    <w:rsid w:val="27286875"/>
    <w:rsid w:val="28137B19"/>
    <w:rsid w:val="28915DF1"/>
    <w:rsid w:val="29362A8E"/>
    <w:rsid w:val="29387837"/>
    <w:rsid w:val="29B175E9"/>
    <w:rsid w:val="29B42820"/>
    <w:rsid w:val="29F319B0"/>
    <w:rsid w:val="2A181417"/>
    <w:rsid w:val="2A3F4BF5"/>
    <w:rsid w:val="2ACB46DB"/>
    <w:rsid w:val="2B3A3283"/>
    <w:rsid w:val="2C752B50"/>
    <w:rsid w:val="2C892158"/>
    <w:rsid w:val="2CAB47C4"/>
    <w:rsid w:val="2CB87701"/>
    <w:rsid w:val="2DA03BFD"/>
    <w:rsid w:val="2DD54FC4"/>
    <w:rsid w:val="2EC97183"/>
    <w:rsid w:val="2F2A5387"/>
    <w:rsid w:val="302C5C1C"/>
    <w:rsid w:val="3062163D"/>
    <w:rsid w:val="30B31E99"/>
    <w:rsid w:val="30C916BD"/>
    <w:rsid w:val="31E63BA8"/>
    <w:rsid w:val="32454D73"/>
    <w:rsid w:val="32C97752"/>
    <w:rsid w:val="340824FC"/>
    <w:rsid w:val="34360E17"/>
    <w:rsid w:val="351F3659"/>
    <w:rsid w:val="35633E8E"/>
    <w:rsid w:val="35A3072E"/>
    <w:rsid w:val="35CF1523"/>
    <w:rsid w:val="35DE1766"/>
    <w:rsid w:val="361138EA"/>
    <w:rsid w:val="380A4A95"/>
    <w:rsid w:val="3814321D"/>
    <w:rsid w:val="386677F1"/>
    <w:rsid w:val="390633B0"/>
    <w:rsid w:val="39A14F85"/>
    <w:rsid w:val="3A4678DA"/>
    <w:rsid w:val="3A7C154E"/>
    <w:rsid w:val="3AD564D4"/>
    <w:rsid w:val="3B47390A"/>
    <w:rsid w:val="3B84690C"/>
    <w:rsid w:val="3C970B3B"/>
    <w:rsid w:val="3FE46BF2"/>
    <w:rsid w:val="3FFC1167"/>
    <w:rsid w:val="41361DF3"/>
    <w:rsid w:val="41390199"/>
    <w:rsid w:val="41744D2D"/>
    <w:rsid w:val="417810A7"/>
    <w:rsid w:val="41D659E7"/>
    <w:rsid w:val="42772D26"/>
    <w:rsid w:val="434F77FF"/>
    <w:rsid w:val="43817D71"/>
    <w:rsid w:val="4436276D"/>
    <w:rsid w:val="44586B88"/>
    <w:rsid w:val="455E2276"/>
    <w:rsid w:val="45603F46"/>
    <w:rsid w:val="47EA5D49"/>
    <w:rsid w:val="48FA645F"/>
    <w:rsid w:val="49184B37"/>
    <w:rsid w:val="49914A4E"/>
    <w:rsid w:val="4AA711BB"/>
    <w:rsid w:val="4B427C4A"/>
    <w:rsid w:val="4C365A00"/>
    <w:rsid w:val="4D783DF7"/>
    <w:rsid w:val="4DAD39C0"/>
    <w:rsid w:val="4EA34EA3"/>
    <w:rsid w:val="50BF1E8B"/>
    <w:rsid w:val="510F4A72"/>
    <w:rsid w:val="51426BF5"/>
    <w:rsid w:val="517B5C63"/>
    <w:rsid w:val="51A451BA"/>
    <w:rsid w:val="51DC0DF8"/>
    <w:rsid w:val="51E43809"/>
    <w:rsid w:val="51FE2F47"/>
    <w:rsid w:val="52462715"/>
    <w:rsid w:val="537A08C9"/>
    <w:rsid w:val="53980D4F"/>
    <w:rsid w:val="539A4FAB"/>
    <w:rsid w:val="54C40FED"/>
    <w:rsid w:val="5543118E"/>
    <w:rsid w:val="555313D1"/>
    <w:rsid w:val="56025F50"/>
    <w:rsid w:val="56DE116E"/>
    <w:rsid w:val="57B123DF"/>
    <w:rsid w:val="57D60097"/>
    <w:rsid w:val="581D1822"/>
    <w:rsid w:val="58207565"/>
    <w:rsid w:val="5A5F25C6"/>
    <w:rsid w:val="5A9658BC"/>
    <w:rsid w:val="5AE96334"/>
    <w:rsid w:val="5B522F45"/>
    <w:rsid w:val="5BCA3A6F"/>
    <w:rsid w:val="5BE30FD5"/>
    <w:rsid w:val="5C5F202C"/>
    <w:rsid w:val="5C6739B4"/>
    <w:rsid w:val="5CCA380F"/>
    <w:rsid w:val="5D1D22C5"/>
    <w:rsid w:val="5D417743"/>
    <w:rsid w:val="5E0314BA"/>
    <w:rsid w:val="62AA45FB"/>
    <w:rsid w:val="62EA2C49"/>
    <w:rsid w:val="634077BA"/>
    <w:rsid w:val="63F024E1"/>
    <w:rsid w:val="650C334B"/>
    <w:rsid w:val="66A23F66"/>
    <w:rsid w:val="66CD2666"/>
    <w:rsid w:val="66D30AF2"/>
    <w:rsid w:val="67053946"/>
    <w:rsid w:val="67B81568"/>
    <w:rsid w:val="67E20393"/>
    <w:rsid w:val="68190258"/>
    <w:rsid w:val="682E35D8"/>
    <w:rsid w:val="691B0000"/>
    <w:rsid w:val="6A10568B"/>
    <w:rsid w:val="6AE3108D"/>
    <w:rsid w:val="6B9B71D6"/>
    <w:rsid w:val="6BF15048"/>
    <w:rsid w:val="6BF608B1"/>
    <w:rsid w:val="6BF6265F"/>
    <w:rsid w:val="6E313E22"/>
    <w:rsid w:val="6F9603E0"/>
    <w:rsid w:val="70E37655"/>
    <w:rsid w:val="71A30B93"/>
    <w:rsid w:val="720C2BDC"/>
    <w:rsid w:val="72BC63B0"/>
    <w:rsid w:val="731F249B"/>
    <w:rsid w:val="73357F10"/>
    <w:rsid w:val="737427E7"/>
    <w:rsid w:val="73813156"/>
    <w:rsid w:val="739E5AB6"/>
    <w:rsid w:val="73AD4358"/>
    <w:rsid w:val="74626AE3"/>
    <w:rsid w:val="749018A2"/>
    <w:rsid w:val="751A116C"/>
    <w:rsid w:val="75976C60"/>
    <w:rsid w:val="75D02172"/>
    <w:rsid w:val="760C31AA"/>
    <w:rsid w:val="771147F0"/>
    <w:rsid w:val="77B51620"/>
    <w:rsid w:val="786D1EFA"/>
    <w:rsid w:val="78B83176"/>
    <w:rsid w:val="79181E66"/>
    <w:rsid w:val="79AD6A52"/>
    <w:rsid w:val="7A3B3BAF"/>
    <w:rsid w:val="7A543372"/>
    <w:rsid w:val="7AC25DAF"/>
    <w:rsid w:val="7BAD0F8C"/>
    <w:rsid w:val="7C1A2EDC"/>
    <w:rsid w:val="7C507B69"/>
    <w:rsid w:val="7C765821"/>
    <w:rsid w:val="7E4454AB"/>
    <w:rsid w:val="7E8E6727"/>
    <w:rsid w:val="7F0D7F93"/>
    <w:rsid w:val="7F604567"/>
    <w:rsid w:val="7F671451"/>
    <w:rsid w:val="7FC1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4"/>
    <w:autoRedefine/>
    <w:qFormat/>
    <w:uiPriority w:val="99"/>
    <w:rPr>
      <w:sz w:val="18"/>
      <w:szCs w:val="18"/>
    </w:rPr>
  </w:style>
  <w:style w:type="character" w:customStyle="1" w:styleId="11">
    <w:name w:val="页脚 Char"/>
    <w:basedOn w:val="9"/>
    <w:link w:val="3"/>
    <w:autoRedefine/>
    <w:qFormat/>
    <w:uiPriority w:val="99"/>
    <w:rPr>
      <w:sz w:val="18"/>
      <w:szCs w:val="18"/>
    </w:rPr>
  </w:style>
  <w:style w:type="character" w:customStyle="1" w:styleId="12">
    <w:name w:val="批注框文本 Char"/>
    <w:basedOn w:val="9"/>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9178</Words>
  <Characters>9756</Characters>
  <Lines>19</Lines>
  <Paragraphs>5</Paragraphs>
  <TotalTime>3</TotalTime>
  <ScaleCrop>false</ScaleCrop>
  <LinksUpToDate>false</LinksUpToDate>
  <CharactersWithSpaces>9789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hp</cp:lastModifiedBy>
  <dcterms:modified xsi:type="dcterms:W3CDTF">2024-04-30T09:00:13Z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6AAE6B21FEE14E34846FB20A7B18AEE3_12</vt:lpwstr>
  </property>
</Properties>
</file>