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招标工程量清单编制说明</w:t>
      </w:r>
    </w:p>
    <w:p>
      <w:pPr>
        <w:spacing w:line="360" w:lineRule="auto"/>
        <w:ind w:firstLine="442" w:firstLineChars="200"/>
        <w:rPr>
          <w:rFonts w:asciiTheme="minorEastAsia" w:hAnsiTheme="minorEastAsia"/>
          <w:b/>
          <w:sz w:val="22"/>
        </w:rPr>
      </w:pPr>
      <w:r>
        <w:rPr>
          <w:rFonts w:hint="eastAsia" w:asciiTheme="minorEastAsia" w:hAnsiTheme="minorEastAsia"/>
          <w:b/>
          <w:sz w:val="22"/>
        </w:rPr>
        <w:t>一、工程概况</w:t>
      </w:r>
    </w:p>
    <w:p>
      <w:pPr>
        <w:spacing w:line="360" w:lineRule="auto"/>
        <w:ind w:firstLine="440" w:firstLineChars="200"/>
        <w:rPr>
          <w:rFonts w:asciiTheme="minorEastAsia" w:hAnsiTheme="minorEastAsia"/>
          <w:color w:val="FF0000"/>
          <w:sz w:val="22"/>
        </w:rPr>
      </w:pPr>
      <w:r>
        <w:rPr>
          <w:rFonts w:hint="eastAsia" w:asciiTheme="minorEastAsia" w:hAnsiTheme="minorEastAsia"/>
          <w:color w:val="auto"/>
          <w:sz w:val="22"/>
          <w:lang w:val="en-US" w:eastAsia="zh-CN"/>
        </w:rPr>
        <w:t>南京大学鼓楼幼儿园消防管接驳工程拟对过路消防给水顶管、电缆顶管、室外消防给水管新建</w:t>
      </w:r>
      <w:r>
        <w:rPr>
          <w:rFonts w:hint="eastAsia" w:asciiTheme="minorEastAsia" w:hAnsiTheme="minorEastAsia"/>
          <w:color w:val="auto"/>
          <w:sz w:val="22"/>
        </w:rPr>
        <w:t>。</w:t>
      </w:r>
    </w:p>
    <w:p>
      <w:pPr>
        <w:spacing w:line="360" w:lineRule="auto"/>
        <w:ind w:firstLine="442" w:firstLineChars="200"/>
        <w:rPr>
          <w:rFonts w:asciiTheme="minorEastAsia" w:hAnsiTheme="minorEastAsia"/>
          <w:b/>
          <w:sz w:val="22"/>
        </w:rPr>
      </w:pPr>
      <w:r>
        <w:rPr>
          <w:rFonts w:hint="eastAsia" w:asciiTheme="minorEastAsia" w:hAnsiTheme="minorEastAsia"/>
          <w:b/>
          <w:sz w:val="22"/>
        </w:rPr>
        <w:t>二、工程招标和分包范围</w:t>
      </w:r>
    </w:p>
    <w:p>
      <w:pPr>
        <w:spacing w:line="360" w:lineRule="auto"/>
        <w:ind w:firstLine="440" w:firstLineChars="200"/>
        <w:rPr>
          <w:rFonts w:hint="default"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本次工程内容主要包括新建过路消防给水顶管、电缆顶管、室外消防给水管、道路恢复等。</w:t>
      </w:r>
    </w:p>
    <w:p>
      <w:pPr>
        <w:spacing w:line="360" w:lineRule="auto"/>
        <w:ind w:firstLine="442" w:firstLineChars="200"/>
        <w:rPr>
          <w:rFonts w:asciiTheme="minorEastAsia" w:hAnsiTheme="minorEastAsia"/>
          <w:color w:val="auto"/>
          <w:sz w:val="22"/>
        </w:rPr>
      </w:pPr>
      <w:r>
        <w:rPr>
          <w:rFonts w:hint="eastAsia" w:asciiTheme="minorEastAsia" w:hAnsiTheme="minorEastAsia"/>
          <w:b/>
          <w:color w:val="auto"/>
          <w:sz w:val="22"/>
        </w:rPr>
        <w:t>三、编制依据</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1、南京</w:t>
      </w:r>
      <w:r>
        <w:rPr>
          <w:rFonts w:hint="eastAsia" w:asciiTheme="minorEastAsia" w:hAnsiTheme="minorEastAsia"/>
          <w:color w:val="auto"/>
          <w:sz w:val="22"/>
          <w:lang w:val="en-US" w:eastAsia="zh-CN"/>
        </w:rPr>
        <w:t>大学建筑规划设计研究院</w:t>
      </w:r>
      <w:r>
        <w:rPr>
          <w:rFonts w:hint="eastAsia" w:asciiTheme="minorEastAsia" w:hAnsiTheme="minorEastAsia"/>
          <w:color w:val="auto"/>
          <w:sz w:val="22"/>
        </w:rPr>
        <w:t>有限公司设计院设计的</w:t>
      </w:r>
      <w:r>
        <w:rPr>
          <w:rFonts w:hint="eastAsia" w:asciiTheme="minorEastAsia" w:hAnsiTheme="minorEastAsia"/>
          <w:color w:val="auto"/>
          <w:sz w:val="22"/>
          <w:lang w:val="en-US" w:eastAsia="zh-CN"/>
        </w:rPr>
        <w:t>2023</w:t>
      </w:r>
      <w:r>
        <w:rPr>
          <w:rFonts w:hint="eastAsia" w:asciiTheme="minorEastAsia" w:hAnsiTheme="minorEastAsia"/>
          <w:color w:val="auto"/>
          <w:sz w:val="22"/>
        </w:rPr>
        <w:t>年</w:t>
      </w:r>
      <w:r>
        <w:rPr>
          <w:rFonts w:hint="eastAsia" w:asciiTheme="minorEastAsia" w:hAnsiTheme="minorEastAsia"/>
          <w:color w:val="auto"/>
          <w:sz w:val="22"/>
          <w:lang w:val="en-US" w:eastAsia="zh-CN"/>
        </w:rPr>
        <w:t>11</w:t>
      </w:r>
      <w:r>
        <w:rPr>
          <w:rFonts w:hint="eastAsia" w:asciiTheme="minorEastAsia" w:hAnsiTheme="minorEastAsia"/>
          <w:color w:val="auto"/>
          <w:sz w:val="22"/>
        </w:rPr>
        <w:t>月施工图等技术资料。</w:t>
      </w:r>
    </w:p>
    <w:p>
      <w:pPr>
        <w:spacing w:line="360" w:lineRule="auto"/>
        <w:ind w:firstLine="440" w:firstLineChars="200"/>
        <w:rPr>
          <w:rFonts w:asciiTheme="minorEastAsia" w:hAnsiTheme="minorEastAsia"/>
          <w:b/>
          <w:color w:val="auto"/>
          <w:sz w:val="22"/>
        </w:rPr>
      </w:pPr>
      <w:r>
        <w:rPr>
          <w:rFonts w:hint="eastAsia" w:asciiTheme="minorEastAsia" w:hAnsiTheme="minorEastAsia"/>
          <w:color w:val="auto"/>
          <w:sz w:val="22"/>
          <w:lang w:val="en-US" w:eastAsia="zh-CN"/>
        </w:rPr>
        <w:t>2</w:t>
      </w:r>
      <w:r>
        <w:rPr>
          <w:rFonts w:hint="eastAsia" w:asciiTheme="minorEastAsia" w:hAnsiTheme="minorEastAsia"/>
          <w:color w:val="auto"/>
          <w:sz w:val="22"/>
        </w:rPr>
        <w:t>、计量规范：</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①《建设工程工程量清单计价规范》（GB50500-2013）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②《房屋建筑与装饰工程工程量计算规范》（GB50854-2013）</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③《通用安装工程工程量计算规范》（GB50856-2013）</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④《市政工程工程量计算规范》（GB50857-2013）</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⑤现行相关补充或调整文件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lang w:val="en-US" w:eastAsia="zh-CN"/>
        </w:rPr>
        <w:t>3</w:t>
      </w:r>
      <w:r>
        <w:rPr>
          <w:rFonts w:hint="eastAsia" w:asciiTheme="minorEastAsia" w:hAnsiTheme="minorEastAsia"/>
          <w:color w:val="auto"/>
          <w:sz w:val="22"/>
        </w:rPr>
        <w:t>、与本工程项目有关的标准、施工规范与验收规范。</w:t>
      </w:r>
    </w:p>
    <w:p>
      <w:pPr>
        <w:spacing w:line="360" w:lineRule="auto"/>
        <w:ind w:firstLine="442" w:firstLineChars="200"/>
        <w:rPr>
          <w:rFonts w:asciiTheme="minorEastAsia" w:hAnsiTheme="minorEastAsia"/>
          <w:sz w:val="22"/>
        </w:rPr>
      </w:pPr>
      <w:r>
        <w:rPr>
          <w:rFonts w:hint="eastAsia" w:asciiTheme="minorEastAsia" w:hAnsiTheme="minorEastAsia"/>
          <w:b/>
          <w:sz w:val="22"/>
        </w:rPr>
        <w:t>四、取费标准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1、《省住房城乡建设厅关于建筑业实施营改增后江苏省建设工程计价依据调整的通知》 苏建价（2016）154号文及相关附件。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2、《省住房城乡建设厅关于建筑业增值税计价政策调整的通知》苏建函价（2019）178号文。</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3、安全文明施工措施费计取基本费和扬尘污染防治增加费。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4、《省住房城乡建设厅关于建筑工人实名制费用计取方法的公告》〔2019〕第19号</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5、依据《建设工程计价设备材料划分标准》（GB/T50531-2009）划分的设备以设备形式计入且不计取总价措施费及规费。</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6、政策性文件及报价参考执行投标截止日前省市建委造价有关文件，投标截止日后的省市建委造价文件不予执行。</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7、人工工资参考江苏省建设工程人工工资指导价自主报价，其它费用按照省市建委发布的有关文件及政策规定等执行，报价参考执行投标截止日前省建设厅、市建委造价有关文件。</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8、暂列金额及暂估价：</w:t>
      </w:r>
    </w:p>
    <w:p>
      <w:pPr>
        <w:spacing w:line="360" w:lineRule="auto"/>
        <w:ind w:firstLine="440" w:firstLineChars="200"/>
        <w:rPr>
          <w:rFonts w:asciiTheme="minorEastAsia" w:hAnsiTheme="minorEastAsia"/>
          <w:b/>
          <w:color w:val="auto"/>
          <w:sz w:val="22"/>
        </w:rPr>
      </w:pPr>
      <w:r>
        <w:rPr>
          <w:rFonts w:hint="eastAsia" w:asciiTheme="minorEastAsia" w:hAnsiTheme="minorEastAsia"/>
          <w:color w:val="auto"/>
          <w:sz w:val="22"/>
        </w:rPr>
        <w:t>（1）暂列金额：</w:t>
      </w:r>
      <w:r>
        <w:rPr>
          <w:rFonts w:hint="eastAsia" w:asciiTheme="minorEastAsia" w:hAnsiTheme="minorEastAsia"/>
          <w:color w:val="auto"/>
          <w:sz w:val="22"/>
          <w:lang w:val="en-US" w:eastAsia="zh-CN"/>
        </w:rPr>
        <w:t>详工程量清单</w:t>
      </w:r>
      <w:r>
        <w:rPr>
          <w:rFonts w:hint="eastAsia" w:asciiTheme="minorEastAsia" w:hAnsiTheme="minorEastAsia"/>
          <w:color w:val="auto"/>
          <w:sz w:val="22"/>
        </w:rPr>
        <w:t>。</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（2）暂估价：无。</w:t>
      </w:r>
    </w:p>
    <w:p>
      <w:pPr>
        <w:spacing w:line="360" w:lineRule="auto"/>
        <w:ind w:firstLine="442" w:firstLineChars="200"/>
        <w:rPr>
          <w:rFonts w:asciiTheme="minorEastAsia" w:hAnsiTheme="minorEastAsia"/>
          <w:sz w:val="22"/>
        </w:rPr>
      </w:pPr>
      <w:r>
        <w:rPr>
          <w:rFonts w:hint="eastAsia" w:asciiTheme="minorEastAsia" w:hAnsiTheme="minorEastAsia"/>
          <w:b/>
          <w:sz w:val="22"/>
        </w:rPr>
        <w:t>五、图纸及工程量计算中的相关说明</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1、通用部分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工程量清单应与招标文件、招标项目设计图纸等文件结合起来查阅与理解。工程量清单中所描述的项目特征仅为招标人对该分部分项目工程特征的概述，而非是工程特征的全面描述，报价时必须按设计图纸及相关的国家规范的要求。</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2、土建部分</w:t>
      </w:r>
    </w:p>
    <w:p>
      <w:pPr>
        <w:spacing w:line="360" w:lineRule="auto"/>
        <w:ind w:firstLine="440" w:firstLineChars="200"/>
        <w:rPr>
          <w:rFonts w:asciiTheme="minorEastAsia" w:hAnsiTheme="minorEastAsia"/>
          <w:color w:val="auto"/>
          <w:sz w:val="22"/>
        </w:rPr>
      </w:pPr>
      <w:r>
        <w:rPr>
          <w:rFonts w:hint="eastAsia" w:asciiTheme="minorEastAsia" w:hAnsiTheme="minorEastAsia"/>
          <w:color w:val="auto"/>
          <w:sz w:val="22"/>
        </w:rPr>
        <w:t>（1）本工程砂浆按预拌砂浆考虑，砼按商品砼考虑，现场采用泵送还是非泵送由投标单位自行考虑。</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3、安装部分</w:t>
      </w:r>
    </w:p>
    <w:p>
      <w:pPr>
        <w:spacing w:line="360" w:lineRule="auto"/>
        <w:ind w:firstLine="440" w:firstLineChars="200"/>
        <w:rPr>
          <w:rFonts w:hint="eastAsia" w:asciiTheme="minorEastAsia" w:hAnsiTheme="minorEastAsia"/>
          <w:color w:val="auto"/>
          <w:sz w:val="22"/>
        </w:rPr>
      </w:pPr>
      <w:r>
        <w:rPr>
          <w:rFonts w:hint="eastAsia" w:asciiTheme="minorEastAsia" w:hAnsiTheme="minorEastAsia"/>
          <w:color w:val="auto"/>
          <w:sz w:val="22"/>
        </w:rPr>
        <w:t>（1）本工程所有辅材，清单特征虽没有描述，但也应包含在清单中。</w:t>
      </w:r>
    </w:p>
    <w:p>
      <w:pPr>
        <w:spacing w:line="360" w:lineRule="auto"/>
        <w:ind w:firstLine="440" w:firstLineChars="200"/>
        <w:rPr>
          <w:rFonts w:hint="eastAsia" w:asciiTheme="minorEastAsia" w:hAnsiTheme="minorEastAsia"/>
          <w:color w:val="auto"/>
          <w:sz w:val="22"/>
          <w:lang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2</w:t>
      </w:r>
      <w:r>
        <w:rPr>
          <w:rFonts w:hint="eastAsia" w:asciiTheme="minorEastAsia" w:hAnsiTheme="minorEastAsia"/>
          <w:color w:val="auto"/>
          <w:sz w:val="22"/>
          <w:lang w:eastAsia="zh-CN"/>
        </w:rPr>
        <w:t>）本工程各系统的调试与试运行，应包含在投标报价中。</w:t>
      </w:r>
    </w:p>
    <w:p>
      <w:pPr>
        <w:spacing w:line="360" w:lineRule="auto"/>
        <w:ind w:firstLine="440" w:firstLineChars="200"/>
        <w:rPr>
          <w:rFonts w:hint="default" w:asciiTheme="minorEastAsia" w:hAnsiTheme="minorEastAsia"/>
          <w:color w:val="auto"/>
          <w:sz w:val="22"/>
          <w:lang w:val="en-US" w:eastAsia="zh-CN"/>
        </w:rPr>
      </w:pP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3</w:t>
      </w:r>
      <w:r>
        <w:rPr>
          <w:rFonts w:hint="eastAsia" w:asciiTheme="minorEastAsia" w:hAnsiTheme="minorEastAsia"/>
          <w:color w:val="auto"/>
          <w:sz w:val="22"/>
          <w:lang w:eastAsia="zh-CN"/>
        </w:rPr>
        <w:t>）</w:t>
      </w:r>
      <w:r>
        <w:rPr>
          <w:rFonts w:hint="eastAsia" w:asciiTheme="minorEastAsia" w:hAnsiTheme="minorEastAsia"/>
          <w:color w:val="auto"/>
          <w:sz w:val="22"/>
          <w:lang w:val="en-US" w:eastAsia="zh-CN"/>
        </w:rPr>
        <w:t>过路管采用顶管做法。</w:t>
      </w:r>
    </w:p>
    <w:p>
      <w:pPr>
        <w:spacing w:line="360" w:lineRule="auto"/>
        <w:ind w:firstLine="442" w:firstLineChars="200"/>
        <w:rPr>
          <w:rFonts w:asciiTheme="minorEastAsia" w:hAnsiTheme="minorEastAsia"/>
          <w:b/>
          <w:sz w:val="22"/>
        </w:rPr>
      </w:pPr>
      <w:r>
        <w:rPr>
          <w:rFonts w:hint="eastAsia" w:asciiTheme="minorEastAsia" w:hAnsiTheme="minorEastAsia"/>
          <w:b/>
          <w:sz w:val="22"/>
        </w:rPr>
        <w:t>六、主要材料设备</w:t>
      </w:r>
    </w:p>
    <w:p>
      <w:pPr>
        <w:spacing w:line="360" w:lineRule="auto"/>
        <w:ind w:firstLine="442" w:firstLineChars="200"/>
        <w:rPr>
          <w:rFonts w:asciiTheme="minorEastAsia" w:hAnsiTheme="minorEastAsia"/>
          <w:b/>
          <w:sz w:val="22"/>
        </w:rPr>
      </w:pPr>
      <w:r>
        <w:rPr>
          <w:rFonts w:hint="eastAsia" w:asciiTheme="minorEastAsia" w:hAnsiTheme="minorEastAsia"/>
          <w:b/>
          <w:sz w:val="22"/>
        </w:rPr>
        <w:t>（一）投标人负责采购的主要材料设备</w:t>
      </w:r>
    </w:p>
    <w:p>
      <w:pPr>
        <w:spacing w:line="360" w:lineRule="auto"/>
        <w:ind w:firstLine="440" w:firstLineChars="200"/>
        <w:rPr>
          <w:rFonts w:asciiTheme="minorEastAsia" w:hAnsiTheme="minorEastAsia"/>
          <w:sz w:val="22"/>
        </w:rPr>
      </w:pPr>
      <w:r>
        <w:rPr>
          <w:rFonts w:hint="eastAsia" w:asciiTheme="minorEastAsia" w:hAnsiTheme="minorEastAsia"/>
          <w:sz w:val="22"/>
        </w:rPr>
        <w:t>本次招标要求投标人在投标时根据招标人提供的主要材料推荐品牌明确投标所选的品牌。投标人拟选择推荐的品牌以外的品牌时，必须满足相关技术标准和质量要求，并在“澄清答疑”环节中向招标人提出具体推荐品牌，招标人将在“澄清答疑”环节中答复是否同意。否则中标后，招标人有权要求中标人使用推荐品牌表中的品牌，价格不作调整。投标人未在“澄清答疑”环节提出的，视为认可招标人推荐的主要材料品牌。</w:t>
      </w:r>
    </w:p>
    <w:p>
      <w:pPr>
        <w:spacing w:line="360" w:lineRule="auto"/>
        <w:ind w:firstLine="440" w:firstLineChars="200"/>
        <w:rPr>
          <w:rFonts w:asciiTheme="minorEastAsia" w:hAnsiTheme="minorEastAsia"/>
          <w:sz w:val="22"/>
        </w:rPr>
      </w:pPr>
      <w:r>
        <w:rPr>
          <w:rFonts w:hint="eastAsia" w:asciiTheme="minorEastAsia" w:hAnsiTheme="minorEastAsia"/>
          <w:sz w:val="22"/>
        </w:rPr>
        <w:t>1、本项目主要材料品牌推荐表</w:t>
      </w:r>
      <w:r>
        <w:rPr>
          <w:rFonts w:hint="eastAsia" w:asciiTheme="minorEastAsia" w:hAnsiTheme="minorEastAsia"/>
          <w:sz w:val="22"/>
          <w:lang w:eastAsia="zh-CN"/>
        </w:rPr>
        <w:t>，</w:t>
      </w:r>
      <w:r>
        <w:rPr>
          <w:rFonts w:hint="eastAsia" w:asciiTheme="minorEastAsia" w:hAnsiTheme="minorEastAsia"/>
          <w:sz w:val="22"/>
          <w:lang w:val="en-US" w:eastAsia="zh-CN"/>
        </w:rPr>
        <w:t>详见附表：《</w:t>
      </w:r>
      <w:r>
        <w:rPr>
          <w:rFonts w:hint="eastAsia" w:asciiTheme="minorEastAsia" w:hAnsiTheme="minorEastAsia"/>
          <w:sz w:val="22"/>
        </w:rPr>
        <w:t>主要材料品牌推荐表</w:t>
      </w:r>
      <w:r>
        <w:rPr>
          <w:rFonts w:hint="eastAsia" w:asciiTheme="minorEastAsia" w:hAnsiTheme="minorEastAsia"/>
          <w:sz w:val="22"/>
          <w:lang w:val="en-US" w:eastAsia="zh-CN"/>
        </w:rPr>
        <w:t>》</w:t>
      </w:r>
    </w:p>
    <w:p>
      <w:pPr>
        <w:spacing w:line="360" w:lineRule="auto"/>
        <w:ind w:firstLine="440" w:firstLineChars="200"/>
        <w:rPr>
          <w:rFonts w:asciiTheme="minorEastAsia" w:hAnsiTheme="minorEastAsia"/>
          <w:sz w:val="22"/>
        </w:rPr>
      </w:pPr>
      <w:r>
        <w:rPr>
          <w:rFonts w:hint="eastAsia" w:asciiTheme="minorEastAsia" w:hAnsiTheme="minorEastAsia"/>
          <w:sz w:val="22"/>
        </w:rPr>
        <w:t>2、主要材料技术标准和质量要求如下：</w:t>
      </w:r>
    </w:p>
    <w:p>
      <w:pPr>
        <w:spacing w:line="360" w:lineRule="auto"/>
        <w:ind w:firstLine="440" w:firstLineChars="200"/>
        <w:rPr>
          <w:rFonts w:asciiTheme="minorEastAsia" w:hAnsiTheme="minorEastAsia"/>
          <w:sz w:val="22"/>
        </w:rPr>
      </w:pPr>
      <w:r>
        <w:rPr>
          <w:rFonts w:hint="eastAsia" w:asciiTheme="minorEastAsia" w:hAnsiTheme="minorEastAsia"/>
          <w:sz w:val="22"/>
        </w:rPr>
        <w:t>本技术条件是最低限度的技术要求，并未对一切技术细节作出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pPr>
        <w:spacing w:line="360" w:lineRule="auto"/>
        <w:ind w:firstLine="440" w:firstLineChars="200"/>
        <w:rPr>
          <w:rFonts w:hint="eastAsia" w:asciiTheme="minorEastAsia" w:hAnsiTheme="minorEastAsia"/>
          <w:sz w:val="22"/>
        </w:rPr>
      </w:pPr>
      <w:r>
        <w:rPr>
          <w:rFonts w:hint="eastAsia" w:asciiTheme="minorEastAsia" w:hAnsiTheme="minorEastAsia"/>
          <w:sz w:val="22"/>
          <w:lang w:val="en-US" w:eastAsia="zh-CN"/>
        </w:rPr>
        <w:t>本项目</w:t>
      </w:r>
      <w:r>
        <w:rPr>
          <w:rFonts w:hint="eastAsia" w:asciiTheme="minorEastAsia" w:hAnsiTheme="minorEastAsia"/>
          <w:sz w:val="22"/>
        </w:rPr>
        <w:t>技术条件</w:t>
      </w:r>
      <w:r>
        <w:rPr>
          <w:rFonts w:hint="eastAsia" w:asciiTheme="minorEastAsia" w:hAnsiTheme="minorEastAsia"/>
          <w:sz w:val="22"/>
          <w:lang w:val="en-US" w:eastAsia="zh-CN"/>
        </w:rPr>
        <w:t>要求详见图纸。</w:t>
      </w:r>
    </w:p>
    <w:p>
      <w:pPr>
        <w:spacing w:line="360" w:lineRule="auto"/>
        <w:ind w:firstLine="442" w:firstLineChars="200"/>
        <w:rPr>
          <w:rFonts w:asciiTheme="minorEastAsia" w:hAnsiTheme="minorEastAsia"/>
          <w:b/>
          <w:i/>
          <w:color w:val="FF0000"/>
          <w:sz w:val="22"/>
          <w:u w:val="single"/>
        </w:rPr>
      </w:pPr>
      <w:r>
        <w:rPr>
          <w:rFonts w:hint="eastAsia" w:asciiTheme="minorEastAsia" w:hAnsiTheme="minorEastAsia"/>
          <w:b/>
          <w:sz w:val="22"/>
        </w:rPr>
        <w:t>（二）招标人自行采购的主要材料设备</w:t>
      </w:r>
    </w:p>
    <w:p>
      <w:pPr>
        <w:spacing w:line="360" w:lineRule="auto"/>
        <w:ind w:firstLine="440" w:firstLineChars="200"/>
        <w:rPr>
          <w:rFonts w:hint="eastAsia" w:asciiTheme="minorEastAsia" w:hAnsiTheme="minorEastAsia" w:eastAsiaTheme="minorEastAsia"/>
          <w:color w:val="auto"/>
          <w:sz w:val="22"/>
          <w:lang w:val="en-US" w:eastAsia="zh-CN"/>
        </w:rPr>
      </w:pPr>
      <w:r>
        <w:rPr>
          <w:rFonts w:hint="eastAsia" w:asciiTheme="minorEastAsia" w:hAnsiTheme="minorEastAsia"/>
          <w:color w:val="auto"/>
          <w:sz w:val="22"/>
          <w:lang w:val="en-US" w:eastAsia="zh-CN"/>
        </w:rPr>
        <w:t>无</w:t>
      </w:r>
    </w:p>
    <w:p>
      <w:pPr>
        <w:spacing w:line="360" w:lineRule="auto"/>
        <w:ind w:firstLine="442" w:firstLineChars="200"/>
        <w:rPr>
          <w:rFonts w:asciiTheme="minorEastAsia" w:hAnsiTheme="minorEastAsia"/>
          <w:b/>
          <w:sz w:val="22"/>
        </w:rPr>
      </w:pPr>
      <w:r>
        <w:rPr>
          <w:rFonts w:hint="eastAsia" w:asciiTheme="minorEastAsia" w:hAnsiTheme="minorEastAsia"/>
          <w:b/>
          <w:sz w:val="22"/>
        </w:rPr>
        <w:t>七、其他说明</w:t>
      </w:r>
    </w:p>
    <w:p>
      <w:pPr>
        <w:spacing w:line="360" w:lineRule="auto"/>
        <w:ind w:firstLine="440" w:firstLineChars="200"/>
        <w:rPr>
          <w:rFonts w:asciiTheme="minorEastAsia" w:hAnsiTheme="minorEastAsia"/>
          <w:sz w:val="22"/>
        </w:rPr>
      </w:pPr>
      <w:r>
        <w:rPr>
          <w:rFonts w:hint="eastAsia" w:asciiTheme="minorEastAsia" w:hAnsiTheme="minorEastAsia"/>
          <w:sz w:val="22"/>
        </w:rPr>
        <w:t>1、投标人应认真理解和熟悉招标文件和设计图纸，并于投标前自行踏勘现场，充分了解并分析施工条件（包括施工现场红线范围内需要拆除的部位）；工程施工所需水、电、路、渣土堆放、施工便道修建等是否满足施工需求，承包人必须根据其自身施工条件，考虑自备电源发电、场地硬化、施工便道填筑等，招标人对于现有的施工条件将不增加任何投入，涉及到的（水、电、路、渣土堆放、施工便道修建等）增加投入的因素，投标人在投标报价中予以考虑，结算时概不调整；临时设施产生的道路硬化、工程竣工后需拆徐恢复原样。</w:t>
      </w:r>
    </w:p>
    <w:p>
      <w:pPr>
        <w:spacing w:line="360" w:lineRule="auto"/>
        <w:ind w:firstLine="440" w:firstLineChars="200"/>
        <w:rPr>
          <w:rFonts w:asciiTheme="minorEastAsia" w:hAnsiTheme="minorEastAsia"/>
          <w:sz w:val="22"/>
        </w:rPr>
      </w:pPr>
      <w:r>
        <w:rPr>
          <w:rFonts w:hint="eastAsia" w:asciiTheme="minorEastAsia" w:hAnsiTheme="minorEastAsia"/>
          <w:sz w:val="22"/>
        </w:rPr>
        <w:t>2、工程量清单中每一项目的工作内容，分部分项工程量清单中“项目特征”内容描述不详尽的，以设计图纸、《建设工程工程量清单计价规范》（GB50500-2013）及相关规范为准，设计图纸内的全部内容被认为综合在工程量清单中各项目工作内容内，施工材料及施工方法均须满足设计和规范要求。</w:t>
      </w:r>
    </w:p>
    <w:p>
      <w:pPr>
        <w:spacing w:line="360" w:lineRule="auto"/>
        <w:ind w:firstLine="440" w:firstLineChars="200"/>
        <w:rPr>
          <w:rFonts w:asciiTheme="minorEastAsia" w:hAnsiTheme="minorEastAsia"/>
          <w:sz w:val="22"/>
        </w:rPr>
      </w:pPr>
      <w:r>
        <w:rPr>
          <w:rFonts w:hint="eastAsia" w:asciiTheme="minorEastAsia" w:hAnsiTheme="minorEastAsia"/>
          <w:sz w:val="22"/>
        </w:rPr>
        <w:t>3、工程量清单报价应包括完成招标文件规定的工程量清单项目所需的全部费用，其内含：</w:t>
      </w:r>
    </w:p>
    <w:p>
      <w:pPr>
        <w:spacing w:line="360" w:lineRule="auto"/>
        <w:ind w:firstLine="440" w:firstLineChars="200"/>
        <w:rPr>
          <w:rFonts w:asciiTheme="minorEastAsia" w:hAnsiTheme="minorEastAsia"/>
          <w:sz w:val="22"/>
        </w:rPr>
      </w:pPr>
      <w:r>
        <w:rPr>
          <w:rFonts w:hint="eastAsia" w:asciiTheme="minorEastAsia" w:hAnsiTheme="minorEastAsia"/>
          <w:sz w:val="22"/>
        </w:rPr>
        <w:t>①包括分部分项工程费、措施费、其它项目费和规费、税金；</w:t>
      </w:r>
    </w:p>
    <w:p>
      <w:pPr>
        <w:spacing w:line="360" w:lineRule="auto"/>
        <w:ind w:firstLine="440" w:firstLineChars="200"/>
        <w:rPr>
          <w:rFonts w:asciiTheme="minorEastAsia" w:hAnsiTheme="minorEastAsia"/>
          <w:sz w:val="22"/>
        </w:rPr>
      </w:pPr>
      <w:r>
        <w:rPr>
          <w:rFonts w:hint="eastAsia" w:asciiTheme="minorEastAsia" w:hAnsiTheme="minorEastAsia"/>
          <w:sz w:val="22"/>
        </w:rPr>
        <w:t>②包括完成每分部分项工程所含全部工程内容的费用；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③包括完成每项工程内容所需的全部费用；</w:t>
      </w:r>
    </w:p>
    <w:p>
      <w:pPr>
        <w:spacing w:line="360" w:lineRule="auto"/>
        <w:ind w:firstLine="440" w:firstLineChars="200"/>
        <w:rPr>
          <w:rFonts w:asciiTheme="minorEastAsia" w:hAnsiTheme="minorEastAsia"/>
          <w:sz w:val="22"/>
        </w:rPr>
      </w:pPr>
      <w:r>
        <w:rPr>
          <w:rFonts w:hint="eastAsia" w:asciiTheme="minorEastAsia" w:hAnsiTheme="minorEastAsia"/>
          <w:sz w:val="22"/>
        </w:rPr>
        <w:t>④工程量清单项目中没有体现的，施工中又必须发生的工程内容所需的费用；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⑤考虑风险因素而调整的费用；</w:t>
      </w:r>
    </w:p>
    <w:p>
      <w:pPr>
        <w:spacing w:line="360" w:lineRule="auto"/>
        <w:ind w:firstLine="440" w:firstLineChars="200"/>
        <w:rPr>
          <w:rFonts w:asciiTheme="minorEastAsia" w:hAnsiTheme="minorEastAsia"/>
          <w:sz w:val="22"/>
        </w:rPr>
      </w:pPr>
      <w:r>
        <w:rPr>
          <w:rFonts w:hint="eastAsia" w:asciiTheme="minorEastAsia" w:hAnsiTheme="minorEastAsia"/>
          <w:sz w:val="22"/>
        </w:rPr>
        <w:t>⑥因招标人在招标文件中的要求而发生的费用。</w:t>
      </w:r>
    </w:p>
    <w:p>
      <w:pPr>
        <w:spacing w:line="360" w:lineRule="auto"/>
        <w:ind w:firstLine="440" w:firstLineChars="200"/>
        <w:rPr>
          <w:rFonts w:asciiTheme="minorEastAsia" w:hAnsiTheme="minorEastAsia"/>
          <w:sz w:val="22"/>
        </w:rPr>
      </w:pPr>
      <w:r>
        <w:rPr>
          <w:rFonts w:hint="eastAsia" w:asciiTheme="minorEastAsia" w:hAnsiTheme="minorEastAsia"/>
          <w:sz w:val="22"/>
        </w:rPr>
        <w:t>4、对招标人所列的措施项目，投标人可根据工程实际与施工组织设计进行增补，不可竞争费不可更改。结算时，除工程变更引起施工方案改变外，承包人不得以招标工程措施项目清单缺项为由要求新增措施项目。措施费投标人须全面考虑，除招标文件中另有规定外，如有漏项，按投标人让利考虑。</w:t>
      </w:r>
    </w:p>
    <w:p>
      <w:pPr>
        <w:spacing w:line="360" w:lineRule="auto"/>
        <w:ind w:firstLine="440" w:firstLineChars="200"/>
        <w:rPr>
          <w:rFonts w:asciiTheme="minorEastAsia" w:hAnsiTheme="minorEastAsia"/>
          <w:sz w:val="22"/>
        </w:rPr>
      </w:pPr>
      <w:r>
        <w:rPr>
          <w:rFonts w:hint="eastAsia" w:asciiTheme="minorEastAsia" w:hAnsiTheme="minorEastAsia"/>
          <w:sz w:val="22"/>
        </w:rPr>
        <w:t>5、若设计图纸、招标文件中相关条款及清单描述有冲突的，投标人应在“澄清答疑”环节中向招标人提出，招标人将在“澄清答疑”环节中答复；投标人未在“澄清答疑”环节提出的，则最终解释权归属于招标人。</w:t>
      </w:r>
      <w:bookmarkStart w:id="0" w:name="_GoBack"/>
      <w:bookmarkEnd w:id="0"/>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kMWQxZDMyMTFiMjU2NzI2OGIwNDU1ZTI1YmE1MjMifQ=="/>
  </w:docVars>
  <w:rsids>
    <w:rsidRoot w:val="007216EE"/>
    <w:rsid w:val="00010537"/>
    <w:rsid w:val="000918CE"/>
    <w:rsid w:val="000B4442"/>
    <w:rsid w:val="000E4EFC"/>
    <w:rsid w:val="000F0F71"/>
    <w:rsid w:val="00110532"/>
    <w:rsid w:val="00135F54"/>
    <w:rsid w:val="001918E0"/>
    <w:rsid w:val="001A4FE1"/>
    <w:rsid w:val="001D63D0"/>
    <w:rsid w:val="002365A9"/>
    <w:rsid w:val="002C7843"/>
    <w:rsid w:val="002F4B81"/>
    <w:rsid w:val="0035412E"/>
    <w:rsid w:val="00364708"/>
    <w:rsid w:val="00365827"/>
    <w:rsid w:val="00394EF6"/>
    <w:rsid w:val="003E6A22"/>
    <w:rsid w:val="00403F89"/>
    <w:rsid w:val="00480D2C"/>
    <w:rsid w:val="004950B5"/>
    <w:rsid w:val="004A2003"/>
    <w:rsid w:val="004B1576"/>
    <w:rsid w:val="004D0895"/>
    <w:rsid w:val="0050066B"/>
    <w:rsid w:val="005136AA"/>
    <w:rsid w:val="00522799"/>
    <w:rsid w:val="0052678C"/>
    <w:rsid w:val="00531B35"/>
    <w:rsid w:val="00591850"/>
    <w:rsid w:val="005A65A1"/>
    <w:rsid w:val="005C1C94"/>
    <w:rsid w:val="00640023"/>
    <w:rsid w:val="006B3088"/>
    <w:rsid w:val="006C1D24"/>
    <w:rsid w:val="006C71B3"/>
    <w:rsid w:val="007216EE"/>
    <w:rsid w:val="00787904"/>
    <w:rsid w:val="007E10E0"/>
    <w:rsid w:val="00801BFF"/>
    <w:rsid w:val="00847CE5"/>
    <w:rsid w:val="00864452"/>
    <w:rsid w:val="00876B6F"/>
    <w:rsid w:val="00910F8C"/>
    <w:rsid w:val="00917415"/>
    <w:rsid w:val="00927DA5"/>
    <w:rsid w:val="00934BB6"/>
    <w:rsid w:val="0093552C"/>
    <w:rsid w:val="00955791"/>
    <w:rsid w:val="00965503"/>
    <w:rsid w:val="00973768"/>
    <w:rsid w:val="009D4EC2"/>
    <w:rsid w:val="009E6462"/>
    <w:rsid w:val="00A12B36"/>
    <w:rsid w:val="00A61BA3"/>
    <w:rsid w:val="00AA5070"/>
    <w:rsid w:val="00AD1268"/>
    <w:rsid w:val="00AE6169"/>
    <w:rsid w:val="00AF3547"/>
    <w:rsid w:val="00B77257"/>
    <w:rsid w:val="00BF0684"/>
    <w:rsid w:val="00C30855"/>
    <w:rsid w:val="00C42D0E"/>
    <w:rsid w:val="00C51FF7"/>
    <w:rsid w:val="00C65DC8"/>
    <w:rsid w:val="00D3387F"/>
    <w:rsid w:val="00D35105"/>
    <w:rsid w:val="00D77557"/>
    <w:rsid w:val="00D92B20"/>
    <w:rsid w:val="00DC00C4"/>
    <w:rsid w:val="00DC3B6C"/>
    <w:rsid w:val="00E07FAE"/>
    <w:rsid w:val="00EE0655"/>
    <w:rsid w:val="00EF2517"/>
    <w:rsid w:val="00F54A72"/>
    <w:rsid w:val="00F82DC4"/>
    <w:rsid w:val="08D57A23"/>
    <w:rsid w:val="14E80449"/>
    <w:rsid w:val="182757CA"/>
    <w:rsid w:val="1DEA3522"/>
    <w:rsid w:val="2AB32753"/>
    <w:rsid w:val="317E0B7D"/>
    <w:rsid w:val="43F14288"/>
    <w:rsid w:val="4D07739D"/>
    <w:rsid w:val="5C843A3F"/>
    <w:rsid w:val="5CB112BA"/>
    <w:rsid w:val="5E37662B"/>
    <w:rsid w:val="7C035370"/>
    <w:rsid w:val="7F242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2155</Words>
  <Characters>2233</Characters>
  <Lines>19</Lines>
  <Paragraphs>5</Paragraphs>
  <TotalTime>3</TotalTime>
  <ScaleCrop>false</ScaleCrop>
  <LinksUpToDate>false</LinksUpToDate>
  <CharactersWithSpaces>2234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2023-06-05T04:27:00Z</dcterms:created>
  <dc:creator>lujinzhi</dc:creator>
  <cp:lastModifiedBy>去冰奶茶加波霸</cp:lastModifiedBy>
  <dcterms:modified xsi:type="dcterms:W3CDTF">2023-12-21T06:43:27Z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0A1E70FE9998451AB7AA6E5B22899B6E_13</vt:lpwstr>
  </property>
</Properties>
</file>