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招标工程量清单编制说明</w:t>
      </w:r>
    </w:p>
    <w:p>
      <w:pPr>
        <w:spacing w:line="360" w:lineRule="auto"/>
        <w:rPr>
          <w:rFonts w:hint="eastAsia" w:ascii="宋体" w:hAnsi="宋体" w:eastAsia="宋体" w:cs="宋体"/>
          <w:sz w:val="24"/>
          <w:szCs w:val="24"/>
        </w:rPr>
      </w:pPr>
      <w:r>
        <w:rPr>
          <w:rFonts w:hint="eastAsia" w:ascii="宋体" w:hAnsi="宋体" w:eastAsia="宋体" w:cs="宋体"/>
          <w:sz w:val="24"/>
          <w:szCs w:val="24"/>
        </w:rPr>
        <w:t>一、工程概况</w:t>
      </w:r>
    </w:p>
    <w:p>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本项目为南京大学鼓楼校区新生学院基础实验室改造工程（消防水电） ，科技馆位于南京大学鼓楼校区北区（教学区）东南角，靠近汉口路正门，南邻蒙民伟楼，西邻图书馆。科技馆一期建于 1999 年。地上七层，地下一层。层高 3.6~4.5 米。本次改造一层门厅、二层。改造面积约2209.52 平方米；原功能为医学类实验室，现改造成物理实验室加教师办公室等。整栋楼采用中央空调。该项目将作为本科新生在鼓楼校区基础实验室使用，设计应立足于为学生提供良好的学习环境，满足各个学院的基础教学使用需求。</w:t>
      </w:r>
    </w:p>
    <w:p>
      <w:pPr>
        <w:pStyle w:val="5"/>
        <w:keepNext w:val="0"/>
        <w:keepLines w:val="0"/>
        <w:widowControl/>
        <w:suppressLineNumbers w:val="0"/>
        <w:spacing w:before="0" w:beforeAutospacing="0" w:after="0" w:afterAutospacing="0" w:line="360" w:lineRule="auto"/>
        <w:ind w:left="0" w:right="0" w:firstLine="0"/>
        <w:rPr>
          <w:rFonts w:hint="eastAsia" w:ascii="宋体" w:hAnsi="宋体" w:eastAsia="宋体" w:cs="宋体"/>
          <w:sz w:val="24"/>
          <w:szCs w:val="24"/>
        </w:rPr>
      </w:pPr>
      <w:r>
        <w:rPr>
          <w:rFonts w:hint="eastAsia" w:ascii="宋体" w:hAnsi="宋体" w:eastAsia="宋体" w:cs="宋体"/>
          <w:sz w:val="24"/>
          <w:szCs w:val="24"/>
        </w:rPr>
        <w:t>二、工程招标和分包范围</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本次招标范围包含：对这栋楼进行改造，改造主要为科技馆二楼消防水电改造工程。为单独发包的改</w:t>
      </w:r>
      <w:r>
        <w:rPr>
          <w:rFonts w:hint="eastAsia" w:ascii="宋体" w:hAnsi="宋体" w:eastAsia="宋体" w:cs="宋体"/>
          <w:color w:val="auto"/>
          <w:sz w:val="24"/>
          <w:szCs w:val="24"/>
          <w:highlight w:val="none"/>
          <w:lang w:val="en-US" w:eastAsia="zh-CN"/>
        </w:rPr>
        <w:t>造工程。可移动设备及家具不在本次招标范围内。</w:t>
      </w:r>
    </w:p>
    <w:p>
      <w:pPr>
        <w:spacing w:line="360" w:lineRule="auto"/>
        <w:rPr>
          <w:rFonts w:hint="eastAsia" w:ascii="宋体" w:hAnsi="宋体" w:eastAsia="宋体" w:cs="宋体"/>
          <w:sz w:val="24"/>
          <w:szCs w:val="24"/>
        </w:rPr>
      </w:pPr>
      <w:r>
        <w:rPr>
          <w:rFonts w:hint="eastAsia" w:ascii="宋体" w:hAnsi="宋体" w:eastAsia="宋体" w:cs="宋体"/>
          <w:sz w:val="24"/>
          <w:szCs w:val="24"/>
        </w:rPr>
        <w:t>三、编制依据</w:t>
      </w:r>
    </w:p>
    <w:p>
      <w:pPr>
        <w:pStyle w:val="5"/>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南京大学建筑规划设计研究院有限公司</w:t>
      </w:r>
      <w:r>
        <w:rPr>
          <w:rFonts w:hint="eastAsia" w:ascii="宋体" w:hAnsi="宋体" w:eastAsia="宋体" w:cs="宋体"/>
          <w:sz w:val="24"/>
          <w:szCs w:val="24"/>
          <w:lang w:val="en-US" w:eastAsia="zh-CN"/>
        </w:rPr>
        <w:t>出的施工图纸，详见招标图纸文件夹内图纸。</w:t>
      </w:r>
    </w:p>
    <w:p>
      <w:pPr>
        <w:pStyle w:val="5"/>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2.答疑文件及现场实际情况。</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计量规范：</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①《建设工程工程量清单计价规范》（GB50500-2013）</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②《房屋建筑与装饰工程工程量计算规范》（GB50854-2013）</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③《通用安装工程工程量计算规范》（GB50856-2013）</w:t>
      </w:r>
    </w:p>
    <w:p>
      <w:pPr>
        <w:spacing w:line="360" w:lineRule="auto"/>
        <w:rPr>
          <w:rFonts w:hint="eastAsia" w:ascii="宋体" w:hAnsi="宋体" w:eastAsia="宋体" w:cs="宋体"/>
          <w:sz w:val="24"/>
          <w:szCs w:val="24"/>
        </w:rPr>
      </w:pPr>
      <w:r>
        <w:rPr>
          <w:rFonts w:hint="eastAsia" w:ascii="宋体" w:hAnsi="宋体" w:eastAsia="宋体" w:cs="宋体"/>
          <w:sz w:val="24"/>
          <w:szCs w:val="24"/>
        </w:rPr>
        <w:t>四、取费标准</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1、《江苏省建设工程费用定额》（2014）。</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2、《省住房城乡建设厅关于建筑业实施营改增后江苏省建设工程计价依据调整的通知》 苏建价（2016）154号文及相关附件。</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3、《省住房城乡建设厅关于建筑业增值税计价政策调整的通知》苏建函价（2019）178号文。</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4、安全文明施工措施费计取基本费和扬尘污染防治增加费。</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5、政策性文件及报价参考执行投标截止日前省市建委造价有关文件，投标截止日后的省市建委造价文件不予执行。</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7、暂列金额及暂估价：</w:t>
      </w:r>
    </w:p>
    <w:p>
      <w:pPr>
        <w:spacing w:line="360" w:lineRule="auto"/>
        <w:ind w:firstLine="480" w:firstLineChars="200"/>
        <w:rPr>
          <w:rFonts w:hint="eastAsia" w:ascii="宋体" w:hAnsi="宋体" w:eastAsia="宋体" w:cs="宋体"/>
          <w:color w:val="auto"/>
          <w:sz w:val="24"/>
          <w:szCs w:val="24"/>
          <w:highlight w:val="yellow"/>
        </w:rPr>
      </w:pPr>
      <w:r>
        <w:rPr>
          <w:rFonts w:hint="eastAsia" w:ascii="宋体" w:hAnsi="宋体" w:eastAsia="宋体" w:cs="宋体"/>
          <w:color w:val="auto"/>
          <w:sz w:val="24"/>
          <w:szCs w:val="24"/>
        </w:rPr>
        <w:t>（1）</w:t>
      </w:r>
      <w:r>
        <w:rPr>
          <w:rFonts w:hint="eastAsia" w:ascii="宋体" w:hAnsi="宋体" w:eastAsia="宋体" w:cs="宋体"/>
          <w:color w:val="auto"/>
          <w:sz w:val="24"/>
          <w:szCs w:val="24"/>
          <w:highlight w:val="none"/>
        </w:rPr>
        <w:t>暂列金额：按照分部分项工程费的</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%计算。</w:t>
      </w:r>
    </w:p>
    <w:p>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（2）暂估价：</w:t>
      </w:r>
      <w:r>
        <w:rPr>
          <w:rFonts w:hint="eastAsia" w:ascii="宋体" w:hAnsi="宋体" w:eastAsia="宋体" w:cs="宋体"/>
          <w:color w:val="auto"/>
          <w:sz w:val="24"/>
          <w:szCs w:val="24"/>
          <w:lang w:eastAsia="zh-CN"/>
        </w:rPr>
        <w:t>无暂估价</w:t>
      </w:r>
    </w:p>
    <w:p>
      <w:pPr>
        <w:spacing w:line="360" w:lineRule="auto"/>
        <w:rPr>
          <w:rFonts w:hint="eastAsia" w:ascii="宋体" w:hAnsi="宋体" w:eastAsia="宋体" w:cs="宋体"/>
          <w:sz w:val="24"/>
          <w:szCs w:val="24"/>
        </w:rPr>
      </w:pPr>
      <w:r>
        <w:rPr>
          <w:rFonts w:hint="eastAsia" w:ascii="宋体" w:hAnsi="宋体" w:eastAsia="宋体" w:cs="宋体"/>
          <w:sz w:val="24"/>
          <w:szCs w:val="24"/>
        </w:rPr>
        <w:t>五、图纸及工程量计算中的相关说明</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1、通用部分</w:t>
      </w:r>
    </w:p>
    <w:p>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部分图纸不详处，按常规做法考虑，详见工程量清单描述。</w:t>
      </w:r>
    </w:p>
    <w:p>
      <w:pPr>
        <w:numPr>
          <w:ilvl w:val="0"/>
          <w:numId w:val="1"/>
        </w:numPr>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安装部分</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1)电动挡烟垂壁经与设计确认，材质</w:t>
      </w:r>
      <w:bookmarkStart w:id="0" w:name="_GoBack"/>
      <w:bookmarkEnd w:id="0"/>
      <w:r>
        <w:rPr>
          <w:rFonts w:hint="eastAsia" w:ascii="宋体" w:hAnsi="宋体" w:eastAsia="宋体" w:cs="宋体"/>
          <w:sz w:val="24"/>
          <w:szCs w:val="24"/>
          <w:highlight w:val="none"/>
          <w:lang w:val="en-US" w:eastAsia="zh-CN"/>
        </w:rPr>
        <w:t>为无机不燃防火布，清单中以“套”考虑，含挡烟布、电机、卷轴、主副承板、控制箱、按钮盒、烟感探头、配重底座等。</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2）消防部分，消火栓钢管、喷淋管规格大于等于DN65的考虑安装抗震支架。</w:t>
      </w:r>
    </w:p>
    <w:p>
      <w:pPr>
        <w:numPr>
          <w:ilvl w:val="0"/>
          <w:numId w:val="0"/>
        </w:numPr>
        <w:spacing w:line="360" w:lineRule="auto"/>
        <w:ind w:firstLine="480" w:firstLineChars="200"/>
        <w:rPr>
          <w:rFonts w:hint="eastAsia" w:ascii="宋体" w:hAnsi="宋体" w:eastAsia="宋体" w:cs="宋体"/>
          <w:sz w:val="24"/>
          <w:szCs w:val="24"/>
          <w:highlight w:val="none"/>
          <w:lang w:val="en-US" w:eastAsia="zh-CN"/>
        </w:rPr>
      </w:pP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六、主要材料设备</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（一）投标人负责采购的主要材料设备</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numPr>
          <w:ilvl w:val="0"/>
          <w:numId w:val="2"/>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主要材料品牌推荐表如下：</w:t>
      </w:r>
    </w:p>
    <w:tbl>
      <w:tblPr>
        <w:tblStyle w:val="6"/>
        <w:tblW w:w="870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4"/>
        <w:gridCol w:w="2703"/>
        <w:gridCol w:w="1859"/>
        <w:gridCol w:w="35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870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南京大学基建维修工程主要材料推荐品牌及产品系列汇总表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870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FF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材料设备名称</w:t>
            </w:r>
          </w:p>
        </w:tc>
        <w:tc>
          <w:tcPr>
            <w:tcW w:w="1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推荐品牌、系列</w:t>
            </w:r>
          </w:p>
        </w:tc>
        <w:tc>
          <w:tcPr>
            <w:tcW w:w="3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制造商或总经销商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restart"/>
            <w:tcBorders>
              <w:top w:val="single" w:color="auto" w:sz="4" w:space="0"/>
              <w:left w:val="single" w:color="auto" w:sz="4" w:space="0"/>
              <w:right w:val="single" w:color="auto" w:sz="4" w:space="0"/>
            </w:tcBorders>
            <w:shd w:val="clear" w:color="auto" w:fill="auto"/>
            <w:vAlign w:val="center"/>
          </w:tcPr>
          <w:p>
            <w:pPr>
              <w:jc w:val="center"/>
              <w:rPr>
                <w:rFonts w:hint="default" w:ascii="宋体" w:hAnsi="宋体" w:cs="宋体" w:eastAsiaTheme="minorEastAsia"/>
                <w:color w:val="000000"/>
                <w:kern w:val="2"/>
                <w:sz w:val="20"/>
                <w:szCs w:val="22"/>
                <w:lang w:val="en-US" w:eastAsia="zh-CN" w:bidi="ar-SA"/>
              </w:rPr>
            </w:pPr>
            <w:r>
              <w:rPr>
                <w:rFonts w:hint="eastAsia" w:ascii="宋体" w:hAnsi="宋体" w:cs="宋体"/>
                <w:color w:val="000000"/>
                <w:kern w:val="2"/>
                <w:sz w:val="20"/>
                <w:szCs w:val="22"/>
                <w:lang w:val="en-US" w:eastAsia="zh-CN" w:bidi="ar-SA"/>
              </w:rPr>
              <w:t>1</w:t>
            </w:r>
          </w:p>
        </w:tc>
        <w:tc>
          <w:tcPr>
            <w:tcW w:w="2703"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SA"/>
              </w:rPr>
            </w:pPr>
            <w:r>
              <w:rPr>
                <w:rFonts w:hint="eastAsia" w:ascii="宋体" w:hAnsi="宋体" w:cs="宋体"/>
                <w:color w:val="auto"/>
                <w:kern w:val="0"/>
                <w:sz w:val="20"/>
                <w:lang w:bidi="ar"/>
              </w:rPr>
              <w:t>电线、电缆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远东</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远东电缆有限公司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2703" w:type="dxa"/>
            <w:vMerge w:val="continue"/>
            <w:tcBorders>
              <w:left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五彩</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无锡江南电缆有限公司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bottom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2703" w:type="dxa"/>
            <w:vMerge w:val="continue"/>
            <w:tcBorders>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上上</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上上电缆有限公司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restart"/>
            <w:tcBorders>
              <w:top w:val="single" w:color="auto" w:sz="4" w:space="0"/>
              <w:left w:val="single" w:color="auto" w:sz="4" w:space="0"/>
              <w:right w:val="single" w:color="auto" w:sz="4" w:space="0"/>
            </w:tcBorders>
            <w:shd w:val="clear" w:color="auto" w:fill="auto"/>
            <w:vAlign w:val="center"/>
          </w:tcPr>
          <w:p>
            <w:pPr>
              <w:jc w:val="center"/>
              <w:rPr>
                <w:rFonts w:hint="eastAsia" w:ascii="宋体" w:hAnsi="宋体" w:cs="宋体" w:eastAsiaTheme="minorEastAsia"/>
                <w:color w:val="000000"/>
                <w:kern w:val="2"/>
                <w:sz w:val="20"/>
                <w:szCs w:val="22"/>
                <w:lang w:val="en-US" w:eastAsia="zh-CN" w:bidi="ar-SA"/>
              </w:rPr>
            </w:pPr>
            <w:r>
              <w:rPr>
                <w:rFonts w:hint="eastAsia" w:ascii="宋体" w:hAnsi="宋体" w:cs="宋体"/>
                <w:color w:val="000000"/>
                <w:sz w:val="20"/>
              </w:rPr>
              <w:t>2</w:t>
            </w:r>
          </w:p>
        </w:tc>
        <w:tc>
          <w:tcPr>
            <w:tcW w:w="2703"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综合布线</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百盛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美国百盛控股集团有限公司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2703" w:type="dxa"/>
            <w:vMerge w:val="continue"/>
            <w:tcBorders>
              <w:left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罗格朗</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TCL—罗格朗国际电工（惠州）有限公司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2703" w:type="dxa"/>
            <w:vMerge w:val="continue"/>
            <w:tcBorders>
              <w:left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lang w:eastAsia="zh-CN" w:bidi="ar"/>
              </w:rPr>
            </w:pPr>
            <w:r>
              <w:rPr>
                <w:rFonts w:hint="eastAsia" w:ascii="宋体" w:hAnsi="宋体" w:cs="宋体"/>
                <w:color w:val="auto"/>
                <w:kern w:val="0"/>
                <w:sz w:val="20"/>
                <w:lang w:bidi="ar"/>
              </w:rPr>
              <w:t>莫仕</w:t>
            </w:r>
          </w:p>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Molex</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莫仕投资（中国）有限公司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bottom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2703" w:type="dxa"/>
            <w:vMerge w:val="continue"/>
            <w:tcBorders>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科博</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kern w:val="0"/>
                <w:sz w:val="20"/>
                <w:lang w:bidi="ar"/>
              </w:rPr>
              <w:t>科博（宁波）通信技术有限公司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default" w:ascii="宋体" w:hAnsi="宋体" w:cs="宋体" w:eastAsiaTheme="minorEastAsia"/>
                <w:color w:val="000000"/>
                <w:kern w:val="2"/>
                <w:sz w:val="20"/>
                <w:szCs w:val="22"/>
                <w:lang w:val="en-US" w:eastAsia="zh-CN" w:bidi="ar-SA"/>
              </w:rPr>
            </w:pPr>
            <w:r>
              <w:rPr>
                <w:rFonts w:hint="eastAsia" w:ascii="宋体" w:hAnsi="宋体" w:cs="宋体"/>
                <w:color w:val="000000"/>
                <w:sz w:val="20"/>
                <w:lang w:val="en-US" w:eastAsia="zh-CN"/>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1"/>
                <w:szCs w:val="22"/>
                <w:lang w:val="en-US" w:eastAsia="zh-CN" w:bidi="ar"/>
              </w:rPr>
            </w:pPr>
            <w:r>
              <w:rPr>
                <w:rFonts w:hint="eastAsia" w:ascii="宋体" w:hAnsi="宋体" w:cs="宋体"/>
                <w:color w:val="auto"/>
                <w:lang w:bidi="ar"/>
              </w:rPr>
              <w:t>配电箱成套</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江苏华开电气有限公司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南京电器成套设备总厂有限公司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南京常开电气有限公司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江苏东源电器集团股份有限公司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镇江欧菱电气自动化设备有限公司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cs="宋体" w:eastAsiaTheme="minorEastAsia"/>
                <w:color w:val="auto"/>
                <w:kern w:val="2"/>
                <w:sz w:val="20"/>
                <w:szCs w:val="22"/>
                <w:lang w:val="en-US" w:eastAsia="zh-CN" w:bidi="ar-SA"/>
              </w:rPr>
            </w:pPr>
            <w:r>
              <w:rPr>
                <w:rFonts w:hint="eastAsia" w:ascii="宋体" w:hAnsi="宋体" w:cs="宋体"/>
                <w:color w:val="auto"/>
                <w:sz w:val="20"/>
                <w:lang w:bidi="ar"/>
              </w:rPr>
              <w:t>真空断路器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施耐德（HVX）</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施耐德电气(中国)有限公司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ABB（VD4）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ABB(中国)有限公司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西门子（3AE）</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西门子(中国)有限公司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cs="宋体" w:eastAsiaTheme="minorEastAsia"/>
                <w:color w:val="auto"/>
                <w:kern w:val="2"/>
                <w:sz w:val="20"/>
                <w:szCs w:val="22"/>
                <w:lang w:val="en-US" w:eastAsia="zh-CN" w:bidi="ar-SA"/>
              </w:rPr>
            </w:pPr>
            <w:r>
              <w:rPr>
                <w:rFonts w:hint="eastAsia" w:ascii="宋体" w:hAnsi="宋体" w:cs="宋体"/>
                <w:color w:val="auto"/>
                <w:sz w:val="20"/>
                <w:lang w:bidi="ar"/>
              </w:rPr>
              <w:t>框架断路器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施耐德（MTZ/MT）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施耐德电气(中国)有限公司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ABB（Emax2）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ABB(中国)有限公司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西门子（3WL）</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西门子(中国)有限公司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cs="宋体" w:eastAsiaTheme="minorEastAsia"/>
                <w:color w:val="auto"/>
                <w:kern w:val="2"/>
                <w:sz w:val="20"/>
                <w:szCs w:val="22"/>
                <w:lang w:val="en-US" w:eastAsia="zh-CN" w:bidi="ar-SA"/>
              </w:rPr>
            </w:pPr>
            <w:r>
              <w:rPr>
                <w:rFonts w:hint="eastAsia" w:ascii="宋体" w:hAnsi="宋体" w:cs="宋体"/>
                <w:color w:val="auto"/>
                <w:sz w:val="20"/>
                <w:lang w:bidi="ar"/>
              </w:rPr>
              <w:t>塑壳断路器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施耐德（NSX）</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施耐德电气(中国)有限公司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ABB（Tmax/XT）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ABB(中国)有限公司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西门子（3VA）</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0"/>
                <w:sz w:val="20"/>
                <w:szCs w:val="22"/>
                <w:lang w:val="en-US" w:eastAsia="zh-CN" w:bidi="ar"/>
              </w:rPr>
            </w:pPr>
            <w:r>
              <w:rPr>
                <w:rFonts w:hint="eastAsia" w:ascii="宋体" w:hAnsi="宋体" w:cs="宋体"/>
                <w:color w:val="auto"/>
                <w:sz w:val="20"/>
                <w:lang w:bidi="ar"/>
              </w:rPr>
              <w:t>西门子(中国)有限公司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微型断路器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施耐德（Acti9）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施耐德电气(中国)有限公司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ABB（S200）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ABB(中国)有限公司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西门子（5SY）</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西门子(中国)有限公司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双电源切换开关</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施耐德（WTS）</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施耐德电气(中国)有限公司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ABB（OTM8D）</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ABB(中国)有限公司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西门子（5TR2/3KC）</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西门子(中国)有限公司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交流接触器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施耐德（LC1）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施耐德电气(中国)有限公司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ABB（AX）</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ABB(中国)有限公司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西门子（3RT）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西门子(中国)有限公司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热继电器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施耐德（LRD）</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施耐德电气(中国)有限公司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ABB（TA）</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ABB(中国)有限公司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西门子（3RU）</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西门子(中国)有限公司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浪涌保护器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施耐德（PRD）</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施耐德电气(中国)有限公司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564" w:type="dxa"/>
            <w:vMerge w:val="continue"/>
            <w:tcBorders>
              <w:left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ABB（OVR）</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ABB(中国)有限公司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564" w:type="dxa"/>
            <w:vMerge w:val="continue"/>
            <w:tcBorders>
              <w:left w:val="single" w:color="auto" w:sz="4" w:space="0"/>
              <w:bottom w:val="single" w:color="auto" w:sz="4" w:space="0"/>
              <w:right w:val="single" w:color="auto" w:sz="4" w:space="0"/>
            </w:tcBorders>
            <w:shd w:val="clear" w:color="auto" w:fill="auto"/>
          </w:tcPr>
          <w:p>
            <w:pPr>
              <w:jc w:val="center"/>
              <w:rPr>
                <w:rFonts w:hint="eastAsia" w:ascii="宋体" w:hAnsi="宋体" w:eastAsia="宋体" w:cs="宋体"/>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jc w:val="center"/>
              <w:textAlignment w:val="center"/>
              <w:rPr>
                <w:rFonts w:hint="eastAsia" w:ascii="宋体" w:hAnsi="宋体" w:cs="宋体" w:eastAsiaTheme="minorEastAsia"/>
                <w:color w:val="auto"/>
                <w:kern w:val="0"/>
                <w:sz w:val="20"/>
                <w:szCs w:val="22"/>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西门子（5SD7）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eastAsiaTheme="minorEastAsia"/>
                <w:color w:val="auto"/>
                <w:kern w:val="2"/>
                <w:sz w:val="20"/>
                <w:szCs w:val="22"/>
                <w:lang w:val="en-US" w:eastAsia="zh-CN" w:bidi="ar"/>
              </w:rPr>
            </w:pPr>
            <w:r>
              <w:rPr>
                <w:rFonts w:hint="eastAsia" w:ascii="宋体" w:hAnsi="宋体" w:cs="宋体"/>
                <w:color w:val="auto"/>
                <w:sz w:val="20"/>
                <w:lang w:bidi="ar"/>
              </w:rPr>
              <w:t>西门子(中国)有限公司</w:t>
            </w:r>
          </w:p>
        </w:tc>
      </w:tr>
    </w:tbl>
    <w:p>
      <w:pPr>
        <w:numPr>
          <w:ilvl w:val="0"/>
          <w:numId w:val="0"/>
        </w:numPr>
        <w:spacing w:line="360" w:lineRule="auto"/>
        <w:rPr>
          <w:rFonts w:hint="eastAsia" w:ascii="宋体" w:hAnsi="宋体" w:eastAsia="宋体" w:cs="宋体"/>
          <w:sz w:val="24"/>
          <w:szCs w:val="24"/>
        </w:rPr>
      </w:pPr>
    </w:p>
    <w:p>
      <w:pPr>
        <w:numPr>
          <w:ilvl w:val="0"/>
          <w:numId w:val="0"/>
        </w:numPr>
        <w:spacing w:line="360" w:lineRule="auto"/>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2、主要材料技术标准和质量要求如下：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pStyle w:val="5"/>
        <w:widowControl/>
        <w:spacing w:beforeAutospacing="0" w:afterAutospacing="0" w:line="360" w:lineRule="auto"/>
        <w:ind w:firstLine="440" w:firstLineChars="200"/>
        <w:rPr>
          <w:color w:val="FF0000"/>
          <w:sz w:val="22"/>
        </w:rPr>
      </w:pPr>
      <w:r>
        <w:rPr>
          <w:rFonts w:hint="eastAsia" w:cstheme="minorBidi"/>
          <w:kern w:val="2"/>
          <w:sz w:val="22"/>
        </w:rPr>
        <w:t>本工程选用的各种装修材料及产品,应根据设计方提供材料规格、品质、颜色等条件选用本工程的各种装饰材料及产品。由施工单位提供材料样板,并提供材料合格证书、使用说明书及环保、防火性能检测报告,进口产品应提供入境商品检验合格证明。</w:t>
      </w:r>
    </w:p>
    <w:p>
      <w:pPr>
        <w:spacing w:line="360" w:lineRule="auto"/>
        <w:ind w:firstLine="440" w:firstLineChars="200"/>
        <w:rPr>
          <w:color w:val="FF0000"/>
          <w:sz w:val="22"/>
        </w:rPr>
      </w:pPr>
      <w:r>
        <w:rPr>
          <w:rFonts w:hint="eastAsia"/>
          <w:color w:val="FF0000"/>
          <w:sz w:val="22"/>
        </w:rPr>
        <w:t>2.配电箱</w:t>
      </w:r>
    </w:p>
    <w:p>
      <w:pPr>
        <w:spacing w:line="360" w:lineRule="auto"/>
        <w:ind w:firstLine="440" w:firstLineChars="200"/>
        <w:rPr>
          <w:color w:val="FF0000"/>
          <w:sz w:val="22"/>
        </w:rPr>
      </w:pPr>
      <w:r>
        <w:rPr>
          <w:rFonts w:hint="eastAsia"/>
          <w:color w:val="FF0000"/>
          <w:sz w:val="22"/>
        </w:rPr>
        <w:t>2.1配电箱内所有</w:t>
      </w:r>
      <w:r>
        <w:rPr>
          <w:rFonts w:hint="eastAsia"/>
          <w:color w:val="FF0000"/>
          <w:sz w:val="22"/>
          <w:lang w:eastAsia="zh-CN"/>
        </w:rPr>
        <w:t>远传</w:t>
      </w:r>
      <w:r>
        <w:rPr>
          <w:rFonts w:hint="eastAsia"/>
          <w:color w:val="FF0000"/>
          <w:sz w:val="22"/>
        </w:rPr>
        <w:t>计量表计（电能表，包括多功能仪表如有）均为</w:t>
      </w:r>
      <w:r>
        <w:rPr>
          <w:rFonts w:hint="eastAsia"/>
          <w:color w:val="FF0000"/>
          <w:sz w:val="22"/>
          <w:lang w:eastAsia="zh-CN"/>
        </w:rPr>
        <w:t>甲</w:t>
      </w:r>
      <w:r>
        <w:rPr>
          <w:rFonts w:hint="eastAsia"/>
          <w:color w:val="FF0000"/>
          <w:sz w:val="22"/>
        </w:rPr>
        <w:t>供。</w:t>
      </w:r>
    </w:p>
    <w:p>
      <w:pPr>
        <w:spacing w:line="360" w:lineRule="auto"/>
        <w:ind w:firstLine="440" w:firstLineChars="200"/>
        <w:rPr>
          <w:color w:val="FF0000"/>
          <w:sz w:val="22"/>
        </w:rPr>
      </w:pPr>
      <w:r>
        <w:rPr>
          <w:rFonts w:hint="eastAsia"/>
          <w:color w:val="FF0000"/>
          <w:sz w:val="22"/>
        </w:rPr>
        <w:t>2.2用于计量的电流互感器准确度级不得低于0.5级。</w:t>
      </w:r>
    </w:p>
    <w:p>
      <w:pPr>
        <w:spacing w:line="360" w:lineRule="auto"/>
        <w:ind w:firstLine="440" w:firstLineChars="200"/>
        <w:rPr>
          <w:color w:val="FF0000"/>
          <w:sz w:val="22"/>
        </w:rPr>
      </w:pPr>
      <w:r>
        <w:rPr>
          <w:rFonts w:hint="eastAsia"/>
          <w:color w:val="FF0000"/>
          <w:sz w:val="22"/>
        </w:rPr>
        <w:t>2.3配电箱内电气火灾报警系统、消防电源监控系统、应急照明控制系统、智能灯控系统等由投标人按图纸要求配备齐全各系统中的各类电源线数据线、模块和设备等，保证系统完整并可靠运行。所有安装在配电箱的各类模块或元器件必须在配电箱成套厂内成套安装。</w:t>
      </w:r>
    </w:p>
    <w:p>
      <w:pPr>
        <w:spacing w:line="360" w:lineRule="auto"/>
        <w:ind w:firstLine="440" w:firstLineChars="200"/>
        <w:rPr>
          <w:color w:val="FF0000"/>
          <w:sz w:val="22"/>
        </w:rPr>
      </w:pPr>
      <w:r>
        <w:rPr>
          <w:rFonts w:hint="eastAsia"/>
          <w:color w:val="FF0000"/>
          <w:sz w:val="22"/>
        </w:rPr>
        <w:t xml:space="preserve">2.4配电箱（柜）必须选用具有 CCC 认证的产品，不再实施CCC 认证管理的产品但适用强制性产品认证自我声明评价方式的产品，设备进场前应提供强制性认证产品符合性自我声明和型式试验报告，不适用强制性产品认证自我声明评价方式的产品进场前应提供形式试验报告或检测报告。选用的产品必须是原厂生产的高品质产品，招标人有权请权威部门和品牌生产商进行认定和检验。 </w:t>
      </w:r>
    </w:p>
    <w:p>
      <w:pPr>
        <w:spacing w:line="360" w:lineRule="auto"/>
        <w:ind w:firstLine="440" w:firstLineChars="200"/>
        <w:rPr>
          <w:color w:val="FF0000"/>
          <w:sz w:val="22"/>
        </w:rPr>
      </w:pPr>
      <w:r>
        <w:rPr>
          <w:rFonts w:hint="eastAsia"/>
          <w:color w:val="FF0000"/>
          <w:sz w:val="22"/>
        </w:rPr>
        <w:t>2.5配电箱（柜）内的电器元件必须选择清单编制说明中三个推荐品牌之一和相对应的系列中产品。选择施耐德品牌时，必须按图纸标明的型号配置元器件；选择ABB、西门子品牌时，必须按所推荐的系列，且各元器件的技术参数不得低于设计图纸的技术要求，比如额定容量、分断能力、功能需求等。为确保配电箱内电器元件的兼容性及稳定性，应优先选择同一品牌产品。投标人拟选择推荐的品牌和系列以外的产品时，必须满足相关技术标准和质量要求，并在“澄清答疑”环节中向招标人提出具体品牌和技术证明材料，招标人将在“澄清答疑”环节中答复是否同意。</w:t>
      </w:r>
    </w:p>
    <w:p>
      <w:pPr>
        <w:spacing w:line="360" w:lineRule="auto"/>
        <w:rPr>
          <w:rFonts w:hint="eastAsia" w:ascii="宋体" w:hAnsi="宋体" w:eastAsia="宋体" w:cs="宋体"/>
          <w:sz w:val="24"/>
          <w:szCs w:val="24"/>
        </w:rPr>
      </w:pPr>
      <w:r>
        <w:rPr>
          <w:rFonts w:hint="eastAsia" w:ascii="宋体" w:hAnsi="宋体" w:eastAsia="宋体" w:cs="宋体"/>
          <w:sz w:val="24"/>
          <w:szCs w:val="24"/>
        </w:rPr>
        <w:t>七、其他说明</w:t>
      </w:r>
    </w:p>
    <w:p>
      <w:pPr>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1、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p>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八、其他</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工程量清单中每一个项目的综合单价及措施费中，应包括人工费、材料费、机械费、管理费、利润以及现行取费中的有关费用、有关文件规定的调价、场内外运输、机械进退场、临时设施、材料周转、二次倒运、赶工措施、机械停置、噪音排污、围挡、夜间施工费、管线调查与保护、交通协调以及根据本招标文件要求的风险金等全部费用。图纸要求及相关技术标准内的要求须考虑在投标报价中。</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措施费项目清单中，内容仅供参考，投标人可根据工程实际与施工组织设计进行增补，但不得更改已列措施项目，结算时除工程变更引起施工方案改变外，承包人不得以招标工程措施项目清单缺项为由要求新增措施项目。</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投标单位所报工程量清单综合单价应包括完成招标文件及其附件规定的工程量清单项目所需的全部费用，其内含：①包括分部分项工程费、措施费、其它项目费和规费、税金；②包括完成每分部分项工程所含全部工程内容的费用；③包括完成每项工程内容所需的全部费用；④工程量清单项目中没有体现的，施工中又必须发生的工程内容所需的费用；⑤考虑风险因素而调整的费用；⑥因招标人在招标文件中的要求而发生的费用；⑦做为有经验的承包商按照合同条款及相关规定判定交付竣工产品还应计列的其他费用；⑧按照技术方案要求交付竣工产品应该计列的相关费用；⑨其他应当计取的费用。</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.本工程量清单作为投标人报价的基础之一，投标人应结合招标文件、施工图纸、取费文件、技术规范等确定投标报价。</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 本工程招标控制价（含综合单价）为招标人根据相关规定结合市场价编制，投标人未在约定时间内提出异议，视为对招标控制价（含综合单价）完全理解并接受，中标后不作调整。</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．投标人必须充分勘察现场实际情况，自行考虑材料运输及堆场、机械进退场所必须的临时道路、场地硬化费用。</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.本工程砼采用商品砼，砂浆采用预拌砂浆，投标报价综合考虑，结算时不另增加费用。</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.工程量清单特征描述不全时，应结合设计图纸，并应当综合考虑施工规范、地方规章等的要求，所产生的费用计入投标报价中；清单特征中未描述的，但计价</w:t>
      </w:r>
      <w:r>
        <w:rPr>
          <w:rFonts w:hint="eastAsia" w:ascii="宋体" w:hAnsi="宋体" w:eastAsia="宋体" w:cs="宋体"/>
          <w:sz w:val="24"/>
          <w:szCs w:val="24"/>
          <w:lang w:val="en-US" w:eastAsia="zh-CN"/>
        </w:rPr>
        <w:t>定额</w:t>
      </w:r>
      <w:r>
        <w:rPr>
          <w:rFonts w:hint="eastAsia" w:ascii="宋体" w:hAnsi="宋体" w:eastAsia="宋体" w:cs="宋体"/>
          <w:sz w:val="24"/>
          <w:szCs w:val="24"/>
        </w:rPr>
        <w:t>中注明的工作内容，承包人在报价是应充分考虑“工作内容”而产生的费用，列入相应报价中。工程量清单中凡是说明了的工作内容均应包括在投标报价中，清单中未描述但又是完成该分项工程必须有的工作内容，均应包括在投标报价中。</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.本项目对于材料的运输、施工时间的限制、施工场地和临设场地的影响等，请投标人在报价中充分考虑，结算时不得增加与此有关的费用。</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.对于江苏省、南京市相关部门对工程施工要求所发的文件规定，特别是对于工程围挡、扬尘控制等的要求，请投标人在报价中充分考虑，结算时不得增加与此有关的费用。</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.请投标人自行查勘现场，对于现场是否满足所有临时设施、施工场地的搭设要求，请投标人在报价中充分考虑本项目施工的特殊性，结算时不得增加与此有关的费用。</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r>
        <w:rPr>
          <w:rFonts w:hint="eastAsia" w:ascii="宋体" w:hAnsi="宋体" w:eastAsia="宋体" w:cs="宋体"/>
          <w:sz w:val="24"/>
          <w:szCs w:val="24"/>
        </w:rPr>
        <w:t>.设计图纸不完善、不详细、节点不明之处，投标单位应根据现场施工条件及进度要求，并根据图纸进行深化设计。深化设计应经招标人认可后方可施工，深化设计费用包含在投标报价中。设计图纸与工程量清单不一致的以工程量清单为准。</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13</w:t>
      </w:r>
      <w:r>
        <w:rPr>
          <w:rFonts w:hint="eastAsia" w:ascii="宋体" w:hAnsi="宋体" w:eastAsia="宋体" w:cs="宋体"/>
          <w:sz w:val="24"/>
          <w:szCs w:val="24"/>
        </w:rPr>
        <w:t>.投标人对工程量清单有任何疑问，应于招标文件规定的疑问提交截止日前提出，如未提出，中标后相应单价不再调整，且必须按设计图纸完成所有工作内容。</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14</w:t>
      </w:r>
      <w:r>
        <w:rPr>
          <w:rFonts w:hint="eastAsia" w:ascii="宋体" w:hAnsi="宋体" w:eastAsia="宋体" w:cs="宋体"/>
          <w:sz w:val="24"/>
          <w:szCs w:val="24"/>
        </w:rPr>
        <w:t>.本工程施工外部协调工作由投标人负责，投标人应充分考虑周边地域情况，并将此费用考虑在投标报价中，结算时发包人不再为此增加费用。投标时充分考虑直至办理完</w:t>
      </w:r>
      <w:r>
        <w:rPr>
          <w:rFonts w:hint="eastAsia" w:ascii="宋体" w:hAnsi="宋体" w:eastAsia="宋体" w:cs="宋体"/>
          <w:sz w:val="24"/>
          <w:szCs w:val="24"/>
          <w:lang w:eastAsia="zh-CN"/>
        </w:rPr>
        <w:t>竣工结算文件</w:t>
      </w:r>
      <w:r>
        <w:rPr>
          <w:rFonts w:hint="eastAsia" w:ascii="宋体" w:hAnsi="宋体" w:eastAsia="宋体" w:cs="宋体"/>
          <w:sz w:val="24"/>
          <w:szCs w:val="24"/>
        </w:rPr>
        <w:t>为止所产生的费用，结算时不另增加费用。</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15</w:t>
      </w:r>
      <w:r>
        <w:rPr>
          <w:rFonts w:hint="eastAsia" w:ascii="宋体" w:hAnsi="宋体" w:eastAsia="宋体" w:cs="宋体"/>
          <w:sz w:val="24"/>
          <w:szCs w:val="24"/>
        </w:rPr>
        <w:t>.投标人在填写工程量清单的每一项综合单价和合价时均应结合招标文件、技术规范、设计施工图纸和现场勘察情况，谨慎仔细地进行报价。工程量清单特征描述不全时，应当综合考虑施工规范、地方规章等的要求，所产生的费用计入投标报价中；清单特征中未描述的，但计价规范中注明的工程内容，承包人在报价时应充分考虑“工程内容”而产生的费用，列入相应投标报价中，实施过程中费用不调整。</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16</w:t>
      </w:r>
      <w:r>
        <w:rPr>
          <w:rFonts w:hint="eastAsia" w:ascii="宋体" w:hAnsi="宋体" w:eastAsia="宋体" w:cs="宋体"/>
          <w:sz w:val="24"/>
          <w:szCs w:val="24"/>
        </w:rPr>
        <w:t>.工程量清单外的费用：工程量清单项目（包括实体性消耗和措施性消耗）中没有体现的，施工中又必须发生的工作内容所需的费用，如：包括但不限于临时设施费、脚手架费、垂直运输费、主要材料构件的二次包装防护费、原材料的二次搬运费、场外运输费、摊销费、吊装费、超高部位人工、机械降效补贴费、成品保护费等，由各投标人根据现场实际施工场地考察的情况并结合各自条件情况自行计入报价。</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17</w:t>
      </w:r>
      <w:r>
        <w:rPr>
          <w:rFonts w:hint="eastAsia" w:ascii="宋体" w:hAnsi="宋体" w:eastAsia="宋体" w:cs="宋体"/>
          <w:sz w:val="24"/>
          <w:szCs w:val="24"/>
        </w:rPr>
        <w:t>.本工程中施工的实际损耗，自行综合考虑在本次报价中，不另增加费用。</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18</w:t>
      </w:r>
      <w:r>
        <w:rPr>
          <w:rFonts w:hint="eastAsia" w:ascii="宋体" w:hAnsi="宋体" w:eastAsia="宋体" w:cs="宋体"/>
          <w:sz w:val="24"/>
          <w:szCs w:val="24"/>
        </w:rPr>
        <w:t>.所有清单项目内涉及建筑垃圾的清理及外运，综合考虑在报价内，结算不予调整。</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.投标人须自行考虑材料的采购、保管费，中标后不再调整。</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0</w:t>
      </w:r>
      <w:r>
        <w:rPr>
          <w:rFonts w:hint="eastAsia" w:ascii="宋体" w:hAnsi="宋体" w:eastAsia="宋体" w:cs="宋体"/>
          <w:sz w:val="24"/>
          <w:szCs w:val="24"/>
        </w:rPr>
        <w:t>.所有材料检测费均按相关文件执行，材料质量应确保通过消防、节能、环保等第三方检测及消防、环保验收，由质量不合格引起的后果由施工单位承担。如环保、消防检测不合格，视为工程项目不合格。</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本工程量清单应与投标须知、合同通用条款、专用条款、技术规范及设计图纸等同时阅读，相互补充，分部分项工程量清单项目特征内容描述不详的，以招标图纸及清单计价规范为准，同时如有疑问应在规定时间内向招标人（或招标代理机构）提出，一旦中标后一律不调增。</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22</w:t>
      </w:r>
      <w:r>
        <w:rPr>
          <w:rFonts w:hint="eastAsia" w:ascii="宋体" w:hAnsi="宋体" w:eastAsia="宋体" w:cs="宋体"/>
          <w:sz w:val="24"/>
          <w:szCs w:val="24"/>
        </w:rPr>
        <w:t>. 对于施工图中做法不明确或交待不清楚的地方</w:t>
      </w:r>
      <w:r>
        <w:rPr>
          <w:rFonts w:hint="eastAsia" w:ascii="宋体" w:hAnsi="宋体" w:eastAsia="宋体" w:cs="宋体"/>
          <w:sz w:val="24"/>
          <w:szCs w:val="24"/>
          <w:lang w:eastAsia="zh-CN"/>
        </w:rPr>
        <w:t>，按工程一般常规做法计入具体详见清单特征描述</w:t>
      </w:r>
      <w:r>
        <w:rPr>
          <w:rFonts w:hint="eastAsia" w:ascii="宋体" w:hAnsi="宋体" w:eastAsia="宋体" w:cs="宋体"/>
          <w:sz w:val="24"/>
          <w:szCs w:val="24"/>
        </w:rPr>
        <w:t>，投标人报价时应以</w:t>
      </w:r>
      <w:r>
        <w:rPr>
          <w:rFonts w:hint="eastAsia" w:ascii="宋体" w:hAnsi="宋体" w:eastAsia="宋体" w:cs="宋体"/>
          <w:sz w:val="24"/>
          <w:szCs w:val="24"/>
          <w:lang w:eastAsia="zh-CN"/>
        </w:rPr>
        <w:t>清单特征描述</w:t>
      </w:r>
      <w:r>
        <w:rPr>
          <w:rFonts w:hint="eastAsia" w:ascii="宋体" w:hAnsi="宋体" w:eastAsia="宋体" w:cs="宋体"/>
          <w:sz w:val="24"/>
          <w:szCs w:val="24"/>
        </w:rPr>
        <w:t>为准。分部分项工程量清单中“项目特征”内容描述不详的，必须参考施工图和相关规范。投标人具有核查工程量清单及图纸的义务，若踏勘现场、工程量清单项目、数量等与图纸出现不一致，投标人在澄清答疑过程中未及时提出，即视为投标人对工程量清单、图纸已认可。</w:t>
      </w:r>
    </w:p>
    <w:p>
      <w:pPr>
        <w:widowControl/>
        <w:spacing w:line="360" w:lineRule="auto"/>
        <w:ind w:firstLine="480" w:firstLineChars="200"/>
        <w:rPr>
          <w:rFonts w:hint="eastAsia"/>
          <w:sz w:val="24"/>
          <w:szCs w:val="24"/>
          <w:lang w:eastAsia="zh-CN"/>
        </w:rPr>
      </w:pPr>
      <w:r>
        <w:rPr>
          <w:rFonts w:hint="eastAsia" w:ascii="宋体" w:hAnsi="宋体" w:eastAsia="宋体" w:cs="宋体"/>
          <w:sz w:val="24"/>
          <w:szCs w:val="24"/>
          <w:lang w:val="en-US" w:eastAsia="zh-CN"/>
        </w:rPr>
        <w:t>23.</w:t>
      </w:r>
      <w:r>
        <w:rPr>
          <w:rFonts w:hint="eastAsia" w:asciiTheme="minorHAnsi" w:hAnsiTheme="minorHAnsi"/>
          <w:sz w:val="22"/>
        </w:rPr>
        <w:t>交付前应进行开荒保洁，达到发包人使用要求，并进行环境质量检测，达到环保使用标准</w:t>
      </w:r>
      <w:r>
        <w:rPr>
          <w:rFonts w:hint="eastAsia"/>
          <w:sz w:val="24"/>
          <w:szCs w:val="24"/>
          <w:lang w:eastAsia="zh-CN"/>
        </w:rPr>
        <w:t>。</w:t>
      </w:r>
    </w:p>
    <w:p>
      <w:pPr>
        <w:widowControl/>
        <w:spacing w:line="360" w:lineRule="auto"/>
        <w:ind w:firstLine="480" w:firstLineChars="200"/>
        <w:rPr>
          <w:rFonts w:hint="eastAsia"/>
          <w:sz w:val="24"/>
          <w:szCs w:val="24"/>
          <w:lang w:eastAsia="zh-CN"/>
        </w:rPr>
      </w:pPr>
      <w:r>
        <w:rPr>
          <w:rFonts w:hint="eastAsia"/>
          <w:sz w:val="24"/>
          <w:szCs w:val="24"/>
          <w:lang w:val="en-US" w:eastAsia="zh-CN"/>
        </w:rPr>
        <w:t>24.依据学校规定，场地材料堆放服从管理，产生的二次搬运费、超运距运输费，</w:t>
      </w:r>
      <w:r>
        <w:rPr>
          <w:rFonts w:hint="eastAsia"/>
          <w:sz w:val="24"/>
          <w:szCs w:val="24"/>
        </w:rPr>
        <w:t>由投标人自行考虑报价，结算</w:t>
      </w:r>
      <w:r>
        <w:rPr>
          <w:rFonts w:hint="eastAsia"/>
          <w:sz w:val="24"/>
          <w:szCs w:val="24"/>
          <w:lang w:eastAsia="zh-CN"/>
        </w:rPr>
        <w:t>不增加。工人生活区及管理办公区投标人自行考虑位置，现场不能搭设。</w:t>
      </w:r>
    </w:p>
    <w:p>
      <w:pPr>
        <w:spacing w:line="360" w:lineRule="auto"/>
        <w:ind w:firstLine="480" w:firstLineChars="200"/>
        <w:rPr>
          <w:rFonts w:hint="eastAsia" w:ascii="宋体" w:hAnsi="宋体" w:eastAsia="宋体" w:cs="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BABA6C"/>
    <w:multiLevelType w:val="singleLevel"/>
    <w:tmpl w:val="CEBABA6C"/>
    <w:lvl w:ilvl="0" w:tentative="0">
      <w:start w:val="2"/>
      <w:numFmt w:val="decimal"/>
      <w:suff w:val="nothing"/>
      <w:lvlText w:val="%1、"/>
      <w:lvlJc w:val="left"/>
    </w:lvl>
  </w:abstractNum>
  <w:abstractNum w:abstractNumId="1">
    <w:nsid w:val="0CEAC9F1"/>
    <w:multiLevelType w:val="singleLevel"/>
    <w:tmpl w:val="0CEAC9F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kYTFiNDU5YWFlNWM0YTFlNWE1ODFkMWMyNGQ4M2Q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7216EE"/>
    <w:rsid w:val="007E10E0"/>
    <w:rsid w:val="00847CE5"/>
    <w:rsid w:val="00864452"/>
    <w:rsid w:val="00876B6F"/>
    <w:rsid w:val="00917415"/>
    <w:rsid w:val="00934BB6"/>
    <w:rsid w:val="00955791"/>
    <w:rsid w:val="00965503"/>
    <w:rsid w:val="009E6462"/>
    <w:rsid w:val="00AA5070"/>
    <w:rsid w:val="00AD1268"/>
    <w:rsid w:val="00AE6169"/>
    <w:rsid w:val="00AF3547"/>
    <w:rsid w:val="00BF0684"/>
    <w:rsid w:val="00C30855"/>
    <w:rsid w:val="00D3387F"/>
    <w:rsid w:val="00D77557"/>
    <w:rsid w:val="00D92B20"/>
    <w:rsid w:val="00EE0655"/>
    <w:rsid w:val="00EF2517"/>
    <w:rsid w:val="00F54A72"/>
    <w:rsid w:val="01551583"/>
    <w:rsid w:val="02AA46F2"/>
    <w:rsid w:val="02E6033B"/>
    <w:rsid w:val="048133ED"/>
    <w:rsid w:val="04A602C9"/>
    <w:rsid w:val="050206E2"/>
    <w:rsid w:val="065D4DE5"/>
    <w:rsid w:val="071511E9"/>
    <w:rsid w:val="0936147F"/>
    <w:rsid w:val="09516072"/>
    <w:rsid w:val="09B824A9"/>
    <w:rsid w:val="09F231FC"/>
    <w:rsid w:val="0AA048AC"/>
    <w:rsid w:val="0B813B20"/>
    <w:rsid w:val="0C04482D"/>
    <w:rsid w:val="0DA24B09"/>
    <w:rsid w:val="0EC33B25"/>
    <w:rsid w:val="0F6C63ED"/>
    <w:rsid w:val="101808D7"/>
    <w:rsid w:val="123B4ABC"/>
    <w:rsid w:val="124949E7"/>
    <w:rsid w:val="139210B0"/>
    <w:rsid w:val="14970F29"/>
    <w:rsid w:val="149838DD"/>
    <w:rsid w:val="15264172"/>
    <w:rsid w:val="15F6683B"/>
    <w:rsid w:val="169E79F7"/>
    <w:rsid w:val="17224DAE"/>
    <w:rsid w:val="19256F27"/>
    <w:rsid w:val="1A06106B"/>
    <w:rsid w:val="1A290A9D"/>
    <w:rsid w:val="1E40298A"/>
    <w:rsid w:val="1EDD111C"/>
    <w:rsid w:val="1F0110C3"/>
    <w:rsid w:val="1F3A7E4C"/>
    <w:rsid w:val="1F8D3FD4"/>
    <w:rsid w:val="20014A49"/>
    <w:rsid w:val="20224841"/>
    <w:rsid w:val="21327CCF"/>
    <w:rsid w:val="21BB4A02"/>
    <w:rsid w:val="222332B6"/>
    <w:rsid w:val="22BF0131"/>
    <w:rsid w:val="2539287D"/>
    <w:rsid w:val="25B537DB"/>
    <w:rsid w:val="25C80BD5"/>
    <w:rsid w:val="27265690"/>
    <w:rsid w:val="2746170C"/>
    <w:rsid w:val="27B1292C"/>
    <w:rsid w:val="27EA7EF2"/>
    <w:rsid w:val="2A073693"/>
    <w:rsid w:val="2AA61114"/>
    <w:rsid w:val="2B547424"/>
    <w:rsid w:val="2C0A11A5"/>
    <w:rsid w:val="2D196883"/>
    <w:rsid w:val="2D5430AC"/>
    <w:rsid w:val="2E1005A4"/>
    <w:rsid w:val="2FC60671"/>
    <w:rsid w:val="30DD5CE3"/>
    <w:rsid w:val="316655D0"/>
    <w:rsid w:val="31D048FE"/>
    <w:rsid w:val="32227E8C"/>
    <w:rsid w:val="322D2B49"/>
    <w:rsid w:val="323C725A"/>
    <w:rsid w:val="32757258"/>
    <w:rsid w:val="3310606F"/>
    <w:rsid w:val="33B145B0"/>
    <w:rsid w:val="33FB5180"/>
    <w:rsid w:val="342A06C4"/>
    <w:rsid w:val="34460B8F"/>
    <w:rsid w:val="345B2672"/>
    <w:rsid w:val="350B22A4"/>
    <w:rsid w:val="36701382"/>
    <w:rsid w:val="36AC2505"/>
    <w:rsid w:val="36EF209C"/>
    <w:rsid w:val="37431AFD"/>
    <w:rsid w:val="374925BC"/>
    <w:rsid w:val="37975B6F"/>
    <w:rsid w:val="382014F8"/>
    <w:rsid w:val="384D1E62"/>
    <w:rsid w:val="39BE535E"/>
    <w:rsid w:val="3AF81EC9"/>
    <w:rsid w:val="3B1F6466"/>
    <w:rsid w:val="3BED0B9A"/>
    <w:rsid w:val="3D545BBB"/>
    <w:rsid w:val="3F116E16"/>
    <w:rsid w:val="3F6C39BA"/>
    <w:rsid w:val="3F9B4E9B"/>
    <w:rsid w:val="41092F33"/>
    <w:rsid w:val="412070D7"/>
    <w:rsid w:val="41FB33AE"/>
    <w:rsid w:val="42DD0B60"/>
    <w:rsid w:val="42E75042"/>
    <w:rsid w:val="431D1CDE"/>
    <w:rsid w:val="43DD3EBE"/>
    <w:rsid w:val="450608ED"/>
    <w:rsid w:val="463A4890"/>
    <w:rsid w:val="480712B4"/>
    <w:rsid w:val="487C7C4B"/>
    <w:rsid w:val="48FE0BD2"/>
    <w:rsid w:val="49BF40B4"/>
    <w:rsid w:val="4AC55CBA"/>
    <w:rsid w:val="4BD27B83"/>
    <w:rsid w:val="4BE47DB6"/>
    <w:rsid w:val="4C3D75F6"/>
    <w:rsid w:val="4D0E770B"/>
    <w:rsid w:val="4D853EEB"/>
    <w:rsid w:val="4D887572"/>
    <w:rsid w:val="51077333"/>
    <w:rsid w:val="513B13C3"/>
    <w:rsid w:val="517B2CE3"/>
    <w:rsid w:val="51E657F1"/>
    <w:rsid w:val="520545E0"/>
    <w:rsid w:val="523F0F9C"/>
    <w:rsid w:val="526B2C75"/>
    <w:rsid w:val="52844619"/>
    <w:rsid w:val="529E4C50"/>
    <w:rsid w:val="52E277EE"/>
    <w:rsid w:val="53F87855"/>
    <w:rsid w:val="54530081"/>
    <w:rsid w:val="55AA6B17"/>
    <w:rsid w:val="565A220E"/>
    <w:rsid w:val="57727512"/>
    <w:rsid w:val="57A35F14"/>
    <w:rsid w:val="57DB0BFA"/>
    <w:rsid w:val="58360E8D"/>
    <w:rsid w:val="59243401"/>
    <w:rsid w:val="5A9728DA"/>
    <w:rsid w:val="5B4D4E0E"/>
    <w:rsid w:val="5C0708B6"/>
    <w:rsid w:val="5C857763"/>
    <w:rsid w:val="5D1017EF"/>
    <w:rsid w:val="5EB153BA"/>
    <w:rsid w:val="5EFD15B1"/>
    <w:rsid w:val="5F484851"/>
    <w:rsid w:val="606406C4"/>
    <w:rsid w:val="617011A4"/>
    <w:rsid w:val="61A4354F"/>
    <w:rsid w:val="61F00DE8"/>
    <w:rsid w:val="62D15CC3"/>
    <w:rsid w:val="62D5121C"/>
    <w:rsid w:val="631E3F08"/>
    <w:rsid w:val="63F845AC"/>
    <w:rsid w:val="65481F02"/>
    <w:rsid w:val="654A1E36"/>
    <w:rsid w:val="66534B4F"/>
    <w:rsid w:val="66B43C9A"/>
    <w:rsid w:val="66CF164B"/>
    <w:rsid w:val="66D465DA"/>
    <w:rsid w:val="6739593C"/>
    <w:rsid w:val="68167CEF"/>
    <w:rsid w:val="691B590A"/>
    <w:rsid w:val="696F5C56"/>
    <w:rsid w:val="69B20F51"/>
    <w:rsid w:val="6B6F4633"/>
    <w:rsid w:val="6CA1776B"/>
    <w:rsid w:val="6CE3738D"/>
    <w:rsid w:val="6D6826D2"/>
    <w:rsid w:val="6F3412AB"/>
    <w:rsid w:val="70522DB1"/>
    <w:rsid w:val="709C336D"/>
    <w:rsid w:val="711A0C8D"/>
    <w:rsid w:val="712613CF"/>
    <w:rsid w:val="726043A0"/>
    <w:rsid w:val="727C4A06"/>
    <w:rsid w:val="72F93681"/>
    <w:rsid w:val="732A42C4"/>
    <w:rsid w:val="74841D88"/>
    <w:rsid w:val="74CC672F"/>
    <w:rsid w:val="764E05B2"/>
    <w:rsid w:val="76E82120"/>
    <w:rsid w:val="76F70716"/>
    <w:rsid w:val="776E030C"/>
    <w:rsid w:val="77AB254F"/>
    <w:rsid w:val="78A37E29"/>
    <w:rsid w:val="78E82ABE"/>
    <w:rsid w:val="791F1447"/>
    <w:rsid w:val="7AD31BE1"/>
    <w:rsid w:val="7B7256D9"/>
    <w:rsid w:val="7B770CB3"/>
    <w:rsid w:val="7B830784"/>
    <w:rsid w:val="7B9854E0"/>
    <w:rsid w:val="7BD1723B"/>
    <w:rsid w:val="7CD776B9"/>
    <w:rsid w:val="7DE052DF"/>
    <w:rsid w:val="7F5040AE"/>
    <w:rsid w:val="7F9A01A0"/>
    <w:rsid w:val="7FDA2BD5"/>
    <w:rsid w:val="7FEB5DDC"/>
    <w:rsid w:val="7FF81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eastAsia="宋体" w:cs="Times New Roman"/>
      <w:szCs w:val="24"/>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3"/>
    <w:qFormat/>
    <w:uiPriority w:val="99"/>
    <w:rPr>
      <w:sz w:val="18"/>
      <w:szCs w:val="18"/>
    </w:rPr>
  </w:style>
  <w:style w:type="character" w:customStyle="1" w:styleId="10">
    <w:name w:val="页脚 Char"/>
    <w:basedOn w:val="8"/>
    <w:link w:val="2"/>
    <w:qFormat/>
    <w:uiPriority w:val="99"/>
    <w:rPr>
      <w:sz w:val="18"/>
      <w:szCs w:val="18"/>
    </w:rPr>
  </w:style>
  <w:style w:type="character" w:customStyle="1" w:styleId="11">
    <w:name w:val="font01"/>
    <w:basedOn w:val="8"/>
    <w:qFormat/>
    <w:uiPriority w:val="0"/>
    <w:rPr>
      <w:rFonts w:hint="eastAsia" w:ascii="宋体" w:hAnsi="宋体" w:eastAsia="宋体" w:cs="宋体"/>
      <w:color w:val="000000"/>
      <w:sz w:val="20"/>
      <w:szCs w:val="20"/>
      <w:u w:val="none"/>
    </w:rPr>
  </w:style>
  <w:style w:type="character" w:customStyle="1" w:styleId="12">
    <w:name w:val="font11"/>
    <w:basedOn w:val="8"/>
    <w:qFormat/>
    <w:uiPriority w:val="0"/>
    <w:rPr>
      <w:rFonts w:hint="eastAsia" w:ascii="宋体" w:hAnsi="宋体" w:eastAsia="宋体" w:cs="宋体"/>
      <w:color w:val="000000"/>
      <w:sz w:val="20"/>
      <w:szCs w:val="20"/>
      <w:u w:val="none"/>
    </w:rPr>
  </w:style>
  <w:style w:type="character" w:customStyle="1" w:styleId="13">
    <w:name w:val="font61"/>
    <w:basedOn w:val="8"/>
    <w:qFormat/>
    <w:uiPriority w:val="0"/>
    <w:rPr>
      <w:rFonts w:hint="eastAsia" w:ascii="宋体" w:hAnsi="宋体" w:eastAsia="宋体" w:cs="宋体"/>
      <w:color w:val="000000"/>
      <w:sz w:val="20"/>
      <w:szCs w:val="20"/>
      <w:u w:val="none"/>
    </w:rPr>
  </w:style>
  <w:style w:type="character" w:customStyle="1" w:styleId="14">
    <w:name w:val="font21"/>
    <w:basedOn w:val="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5380</Words>
  <Characters>5617</Characters>
  <Lines>12</Lines>
  <Paragraphs>3</Paragraphs>
  <TotalTime>0</TotalTime>
  <ScaleCrop>false</ScaleCrop>
  <LinksUpToDate>false</LinksUpToDate>
  <CharactersWithSpaces>5630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张晨昱</cp:lastModifiedBy>
  <dcterms:modified xsi:type="dcterms:W3CDTF">2023-02-25T03:06:37Z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BA8FADE017D148B5989AC4DED12F09E5</vt:lpwstr>
  </property>
</Properties>
</file>