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招标控制价编制说明</w:t>
      </w:r>
    </w:p>
    <w:p>
      <w:pPr>
        <w:spacing w:line="360" w:lineRule="auto"/>
        <w:ind w:firstLine="442" w:firstLineChars="200"/>
        <w:rPr>
          <w:rFonts w:asciiTheme="minorEastAsia" w:hAnsiTheme="minorEastAsia"/>
          <w:b/>
          <w:sz w:val="22"/>
        </w:rPr>
      </w:pPr>
      <w:r>
        <w:rPr>
          <w:rFonts w:hint="eastAsia" w:asciiTheme="minorEastAsia" w:hAnsiTheme="minorEastAsia"/>
          <w:b/>
          <w:sz w:val="22"/>
        </w:rPr>
        <w:t>一、工程概况</w:t>
      </w:r>
    </w:p>
    <w:p>
      <w:pPr>
        <w:spacing w:line="360" w:lineRule="auto"/>
        <w:ind w:firstLine="440" w:firstLineChars="200"/>
        <w:rPr>
          <w:rFonts w:asciiTheme="minorEastAsia" w:hAnsiTheme="minorEastAsia"/>
          <w:color w:val="FF0000"/>
          <w:sz w:val="22"/>
          <w:highlight w:val="none"/>
        </w:rPr>
      </w:pPr>
      <w:r>
        <w:rPr>
          <w:rFonts w:hint="eastAsia"/>
          <w:color w:val="FF0000"/>
          <w:sz w:val="22"/>
          <w:highlight w:val="none"/>
        </w:rPr>
        <w:t>本项目为</w:t>
      </w:r>
      <w:r>
        <w:rPr>
          <w:rFonts w:hint="eastAsia"/>
          <w:color w:val="FF0000"/>
          <w:sz w:val="22"/>
          <w:highlight w:val="none"/>
          <w:lang w:eastAsia="zh-CN"/>
        </w:rPr>
        <w:t>南京大学鼓楼校区景观、校门及其他设施工程，</w:t>
      </w:r>
      <w:r>
        <w:rPr>
          <w:rFonts w:hint="eastAsia" w:asciiTheme="minorEastAsia" w:hAnsiTheme="minorEastAsia"/>
          <w:color w:val="FF0000"/>
          <w:sz w:val="22"/>
          <w:highlight w:val="none"/>
          <w:lang w:val="en-US" w:eastAsia="zh-CN"/>
        </w:rPr>
        <w:t>位于北京西路门，校内栏杆使用多年，栏杆老旧，本次内容为栏杆拆除新做</w:t>
      </w:r>
      <w:r>
        <w:rPr>
          <w:rFonts w:hint="eastAsia" w:asciiTheme="minorEastAsia" w:hAnsiTheme="minorEastAsia"/>
          <w:color w:val="FF0000"/>
          <w:sz w:val="22"/>
          <w:highlight w:val="none"/>
        </w:rPr>
        <w:t>。</w:t>
      </w:r>
    </w:p>
    <w:p>
      <w:pPr>
        <w:spacing w:line="360" w:lineRule="auto"/>
        <w:ind w:firstLine="442" w:firstLineChars="200"/>
        <w:rPr>
          <w:rFonts w:asciiTheme="minorEastAsia" w:hAnsiTheme="minorEastAsia"/>
          <w:b/>
          <w:sz w:val="22"/>
        </w:rPr>
      </w:pPr>
      <w:r>
        <w:rPr>
          <w:rFonts w:hint="eastAsia" w:asciiTheme="minorEastAsia" w:hAnsiTheme="minorEastAsia"/>
          <w:b/>
          <w:sz w:val="22"/>
        </w:rPr>
        <w:t>二、工程招标和分包范围</w:t>
      </w:r>
    </w:p>
    <w:p>
      <w:pPr>
        <w:spacing w:line="360" w:lineRule="auto"/>
        <w:ind w:firstLine="440" w:firstLineChars="200"/>
        <w:rPr>
          <w:rFonts w:asciiTheme="minorEastAsia" w:hAnsiTheme="minorEastAsia"/>
          <w:b/>
          <w:i/>
          <w:color w:val="FF0000"/>
          <w:sz w:val="22"/>
          <w:highlight w:val="none"/>
          <w:u w:val="single"/>
        </w:rPr>
      </w:pPr>
      <w:r>
        <w:rPr>
          <w:rFonts w:hint="eastAsia" w:asciiTheme="minorEastAsia" w:hAnsiTheme="minorEastAsia"/>
          <w:color w:val="FF0000"/>
          <w:sz w:val="22"/>
          <w:highlight w:val="none"/>
        </w:rPr>
        <w:t>本次改造内容主要包括</w:t>
      </w:r>
      <w:r>
        <w:rPr>
          <w:rFonts w:hint="eastAsia" w:asciiTheme="minorEastAsia" w:hAnsiTheme="minorEastAsia"/>
          <w:color w:val="FF0000"/>
          <w:sz w:val="22"/>
          <w:highlight w:val="none"/>
          <w:lang w:val="en-US" w:eastAsia="zh-CN"/>
        </w:rPr>
        <w:t>栏杆拆除新作、路面恢复、平移门</w:t>
      </w:r>
      <w:r>
        <w:rPr>
          <w:rFonts w:hint="eastAsia" w:asciiTheme="minorEastAsia" w:hAnsiTheme="minorEastAsia"/>
          <w:color w:val="FF0000"/>
          <w:sz w:val="22"/>
          <w:highlight w:val="none"/>
        </w:rPr>
        <w:t>。</w:t>
      </w:r>
    </w:p>
    <w:p>
      <w:pPr>
        <w:spacing w:line="360" w:lineRule="auto"/>
        <w:ind w:firstLine="442" w:firstLineChars="200"/>
        <w:rPr>
          <w:rFonts w:asciiTheme="minorEastAsia" w:hAnsiTheme="minorEastAsia"/>
          <w:sz w:val="22"/>
        </w:rPr>
      </w:pPr>
      <w:r>
        <w:rPr>
          <w:rFonts w:hint="eastAsia" w:asciiTheme="minorEastAsia" w:hAnsiTheme="minorEastAsia"/>
          <w:b/>
          <w:sz w:val="22"/>
        </w:rPr>
        <w:t>三、编制依据</w:t>
      </w:r>
    </w:p>
    <w:p>
      <w:pPr>
        <w:spacing w:line="360" w:lineRule="auto"/>
        <w:ind w:firstLine="440" w:firstLineChars="200"/>
        <w:rPr>
          <w:rFonts w:asciiTheme="minorEastAsia" w:hAnsiTheme="minorEastAsia"/>
          <w:color w:val="FF0000"/>
          <w:sz w:val="22"/>
        </w:rPr>
      </w:pPr>
      <w:r>
        <w:rPr>
          <w:rFonts w:hint="eastAsia" w:asciiTheme="minorEastAsia" w:hAnsiTheme="minorEastAsia"/>
          <w:sz w:val="22"/>
        </w:rPr>
        <w:t>1、</w:t>
      </w:r>
      <w:r>
        <w:rPr>
          <w:rFonts w:hint="eastAsia"/>
          <w:color w:val="FF0000"/>
          <w:sz w:val="22"/>
          <w:lang w:val="en-US" w:eastAsia="zh-CN"/>
        </w:rPr>
        <w:t>南通华荣建设集团有限公司</w:t>
      </w:r>
      <w:r>
        <w:rPr>
          <w:rFonts w:hint="eastAsia" w:asciiTheme="minorEastAsia" w:hAnsiTheme="minorEastAsia"/>
          <w:color w:val="FF0000"/>
          <w:sz w:val="22"/>
        </w:rPr>
        <w:t>设计院设计的</w:t>
      </w:r>
      <w:r>
        <w:rPr>
          <w:rFonts w:hint="eastAsia"/>
          <w:color w:val="FF0000"/>
          <w:sz w:val="22"/>
          <w:lang w:val="en-US" w:eastAsia="zh-CN"/>
        </w:rPr>
        <w:t>2024</w:t>
      </w:r>
      <w:r>
        <w:rPr>
          <w:rFonts w:hint="eastAsia"/>
          <w:color w:val="FF0000"/>
          <w:sz w:val="22"/>
        </w:rPr>
        <w:t>年</w:t>
      </w:r>
      <w:r>
        <w:rPr>
          <w:rFonts w:hint="eastAsia"/>
          <w:color w:val="FF0000"/>
          <w:sz w:val="22"/>
          <w:lang w:val="en-US" w:eastAsia="zh-CN"/>
        </w:rPr>
        <w:t>02</w:t>
      </w:r>
      <w:r>
        <w:rPr>
          <w:rFonts w:hint="eastAsia"/>
          <w:color w:val="FF0000"/>
          <w:sz w:val="22"/>
        </w:rPr>
        <w:t>月</w:t>
      </w:r>
      <w:r>
        <w:rPr>
          <w:rFonts w:hint="eastAsia"/>
          <w:color w:val="FF0000"/>
          <w:sz w:val="22"/>
          <w:lang w:val="en-US" w:eastAsia="zh-CN"/>
        </w:rPr>
        <w:t>26</w:t>
      </w:r>
      <w:r>
        <w:rPr>
          <w:rFonts w:hint="eastAsia"/>
          <w:color w:val="FF0000"/>
          <w:sz w:val="22"/>
        </w:rPr>
        <w:t>日</w:t>
      </w:r>
      <w:r>
        <w:rPr>
          <w:rFonts w:hint="eastAsia" w:asciiTheme="minorEastAsia" w:hAnsiTheme="minorEastAsia"/>
          <w:sz w:val="22"/>
        </w:rPr>
        <w:t>施工图及其说明、设计修改、变更通知等技术资料。</w:t>
      </w:r>
    </w:p>
    <w:p>
      <w:pPr>
        <w:spacing w:line="360" w:lineRule="auto"/>
        <w:ind w:firstLine="440" w:firstLineChars="200"/>
        <w:rPr>
          <w:rFonts w:hint="eastAsia" w:asciiTheme="minorEastAsia" w:hAnsiTheme="minorEastAsia"/>
          <w:sz w:val="22"/>
        </w:rPr>
      </w:pPr>
      <w:r>
        <w:rPr>
          <w:rFonts w:hint="eastAsia" w:asciiTheme="minorEastAsia" w:hAnsiTheme="minorEastAsia"/>
          <w:sz w:val="22"/>
        </w:rPr>
        <w:t>2、消耗量定额：</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①《江苏省建筑与装饰工程计价定额》（2014）</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②《江苏省市政工程计价定额》（2014）</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③《江苏省修缮建筑工程计价定额》（2009）</w:t>
      </w:r>
    </w:p>
    <w:p>
      <w:pPr>
        <w:spacing w:line="360" w:lineRule="auto"/>
        <w:ind w:firstLine="440" w:firstLineChars="200"/>
        <w:rPr>
          <w:rFonts w:hint="eastAsia" w:asciiTheme="minorEastAsia" w:hAnsiTheme="minorEastAsia"/>
          <w:color w:val="00B0F0"/>
          <w:sz w:val="22"/>
          <w:highlight w:val="none"/>
        </w:rPr>
      </w:pPr>
      <w:r>
        <w:rPr>
          <w:rFonts w:hint="eastAsia" w:asciiTheme="minorEastAsia" w:hAnsiTheme="minorEastAsia"/>
          <w:color w:val="00B0F0"/>
          <w:sz w:val="22"/>
        </w:rPr>
        <w:t>④</w:t>
      </w:r>
      <w:r>
        <w:rPr>
          <w:rFonts w:hint="eastAsia" w:asciiTheme="minorEastAsia" w:hAnsiTheme="minorEastAsia"/>
          <w:color w:val="00B0F0"/>
          <w:sz w:val="22"/>
          <w:highlight w:val="none"/>
        </w:rPr>
        <w:t>《江苏省修缮安装工程计价定额》（2009）</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⑤现行相关补充或调整文件</w:t>
      </w:r>
    </w:p>
    <w:p>
      <w:pPr>
        <w:spacing w:line="360" w:lineRule="auto"/>
        <w:ind w:firstLine="440" w:firstLineChars="200"/>
        <w:rPr>
          <w:rFonts w:asciiTheme="minorEastAsia" w:hAnsiTheme="minorEastAsia"/>
          <w:sz w:val="22"/>
        </w:rPr>
      </w:pPr>
      <w:r>
        <w:rPr>
          <w:rFonts w:hint="eastAsia" w:asciiTheme="minorEastAsia" w:hAnsiTheme="minorEastAsia"/>
          <w:sz w:val="22"/>
          <w:lang w:val="en-US" w:eastAsia="zh-CN"/>
        </w:rPr>
        <w:t>3</w:t>
      </w:r>
      <w:r>
        <w:rPr>
          <w:rFonts w:hint="eastAsia" w:asciiTheme="minorEastAsia" w:hAnsiTheme="minorEastAsia"/>
          <w:sz w:val="22"/>
        </w:rPr>
        <w:t>、与本工程项目有关的标准、施工规范与验收规范。</w:t>
      </w:r>
    </w:p>
    <w:p>
      <w:pPr>
        <w:spacing w:line="360" w:lineRule="auto"/>
        <w:ind w:firstLine="442" w:firstLineChars="200"/>
        <w:rPr>
          <w:rFonts w:asciiTheme="minorEastAsia" w:hAnsiTheme="minorEastAsia"/>
          <w:sz w:val="22"/>
        </w:rPr>
      </w:pPr>
      <w:r>
        <w:rPr>
          <w:rFonts w:hint="eastAsia" w:asciiTheme="minorEastAsia" w:hAnsiTheme="minorEastAsia"/>
          <w:b/>
          <w:sz w:val="22"/>
        </w:rPr>
        <w:t>四、取费标准</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1、《江苏省建设工程费用定额》（2014）。</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2、《省住房城乡建设厅关于建筑业实施营改增后江苏省建设工程计价依据调整的通知》 苏建价（2016）154号文及相关附件。</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3、《省住房城乡建设厅关于建筑业增值税计价政策调整的通知》苏建函价（2019）178号文。</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4、《省住房城乡建设厅关于建筑工人实名制费用计取方法的公告》〔2019〕第19号</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5、依据《建设工程计价设备材料划分标准》（GB/T50531-2009）划分的设备以设备形式计入且不计取总价措施费及规费。</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6、安全文明施工措施费计取基本费和扬尘污染防治增加费。</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7、政策性文件及报价参考执行投标截止日前省市建委造价有关文件，投标截止日后的省市建委造价文件不予执行。</w:t>
      </w:r>
    </w:p>
    <w:p>
      <w:pPr>
        <w:spacing w:line="360" w:lineRule="auto"/>
        <w:ind w:firstLine="440" w:firstLineChars="200"/>
        <w:rPr>
          <w:rFonts w:asciiTheme="minorEastAsia" w:hAnsiTheme="minorEastAsia"/>
          <w:color w:val="FF0000"/>
          <w:sz w:val="22"/>
        </w:rPr>
      </w:pPr>
      <w:r>
        <w:rPr>
          <w:rFonts w:hint="eastAsia" w:asciiTheme="minorEastAsia" w:hAnsiTheme="minorEastAsia"/>
          <w:color w:val="00B0F0"/>
          <w:sz w:val="22"/>
        </w:rPr>
        <w:t>8、人工单价：</w:t>
      </w:r>
      <w:r>
        <w:rPr>
          <w:rFonts w:hint="eastAsia" w:asciiTheme="minorEastAsia" w:hAnsiTheme="minorEastAsia"/>
          <w:color w:val="FF0000"/>
          <w:sz w:val="22"/>
        </w:rPr>
        <w:t>参考江苏省住房和城乡建设厅发布的建设工程人工工资指导价（苏建函价〔2023〕</w:t>
      </w:r>
      <w:r>
        <w:rPr>
          <w:rFonts w:hint="eastAsia" w:asciiTheme="minorEastAsia" w:hAnsiTheme="minorEastAsia"/>
          <w:color w:val="FF0000"/>
          <w:sz w:val="22"/>
          <w:lang w:val="en-US" w:eastAsia="zh-CN"/>
        </w:rPr>
        <w:t>391</w:t>
      </w:r>
      <w:r>
        <w:rPr>
          <w:rFonts w:hint="eastAsia" w:asciiTheme="minorEastAsia" w:hAnsiTheme="minorEastAsia"/>
          <w:color w:val="FF0000"/>
          <w:sz w:val="22"/>
        </w:rPr>
        <w:t>号）。</w:t>
      </w:r>
    </w:p>
    <w:p>
      <w:pPr>
        <w:spacing w:line="360" w:lineRule="auto"/>
        <w:ind w:firstLine="440" w:firstLineChars="200"/>
        <w:rPr>
          <w:rFonts w:asciiTheme="minorEastAsia" w:hAnsiTheme="minorEastAsia"/>
          <w:color w:val="FF0000"/>
          <w:sz w:val="22"/>
        </w:rPr>
      </w:pPr>
      <w:r>
        <w:rPr>
          <w:rFonts w:hint="eastAsia" w:asciiTheme="minorEastAsia" w:hAnsiTheme="minorEastAsia"/>
          <w:color w:val="00B0F0"/>
          <w:sz w:val="22"/>
        </w:rPr>
        <w:t>7、材料价格：</w:t>
      </w:r>
      <w:r>
        <w:rPr>
          <w:rFonts w:hint="eastAsia" w:asciiTheme="minorEastAsia" w:hAnsiTheme="minorEastAsia"/>
          <w:color w:val="FF0000"/>
          <w:sz w:val="22"/>
        </w:rPr>
        <w:t>《南京工程造价管理》南京市</w:t>
      </w:r>
      <w:r>
        <w:rPr>
          <w:rFonts w:hint="eastAsia" w:asciiTheme="minorEastAsia" w:hAnsiTheme="minorEastAsia"/>
          <w:color w:val="FF0000"/>
          <w:sz w:val="22"/>
          <w:lang w:val="en-US" w:eastAsia="zh-CN"/>
        </w:rPr>
        <w:t>2024</w:t>
      </w:r>
      <w:r>
        <w:rPr>
          <w:rFonts w:hint="eastAsia" w:asciiTheme="minorEastAsia" w:hAnsiTheme="minorEastAsia"/>
          <w:color w:val="FF0000"/>
          <w:sz w:val="22"/>
        </w:rPr>
        <w:t>年</w:t>
      </w:r>
      <w:r>
        <w:rPr>
          <w:rFonts w:hint="eastAsia" w:asciiTheme="minorEastAsia" w:hAnsiTheme="minorEastAsia"/>
          <w:color w:val="FF0000"/>
          <w:sz w:val="22"/>
          <w:lang w:val="en-US" w:eastAsia="zh-CN"/>
        </w:rPr>
        <w:t>03</w:t>
      </w:r>
      <w:r>
        <w:rPr>
          <w:rFonts w:hint="eastAsia" w:asciiTheme="minorEastAsia" w:hAnsiTheme="minorEastAsia"/>
          <w:color w:val="FF0000"/>
          <w:sz w:val="22"/>
        </w:rPr>
        <w:t>月建设工程材料市场信息价格及同期市场价格。</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8、暂列金额及暂估价：</w:t>
      </w:r>
    </w:p>
    <w:p>
      <w:pPr>
        <w:spacing w:line="360" w:lineRule="auto"/>
        <w:ind w:firstLine="440" w:firstLineChars="200"/>
        <w:rPr>
          <w:rFonts w:hint="default" w:asciiTheme="minorEastAsia" w:hAnsiTheme="minorEastAsia"/>
          <w:color w:val="FF0000"/>
          <w:sz w:val="22"/>
          <w:lang w:val="en-US" w:eastAsia="zh-CN"/>
        </w:rPr>
      </w:pPr>
      <w:r>
        <w:rPr>
          <w:rFonts w:hint="eastAsia" w:asciiTheme="minorEastAsia" w:hAnsiTheme="minorEastAsia"/>
          <w:color w:val="00B0F0"/>
          <w:sz w:val="22"/>
        </w:rPr>
        <w:t>（1）暂列金额：</w:t>
      </w:r>
      <w:bookmarkStart w:id="0" w:name="_GoBack"/>
      <w:r>
        <w:rPr>
          <w:rFonts w:hint="eastAsia" w:asciiTheme="minorEastAsia" w:hAnsiTheme="minorEastAsia"/>
          <w:color w:val="FF0000"/>
          <w:sz w:val="22"/>
          <w:lang w:val="en-US" w:eastAsia="zh-CN"/>
        </w:rPr>
        <w:t>详见工程量清单</w:t>
      </w:r>
      <w:bookmarkEnd w:id="0"/>
    </w:p>
    <w:p>
      <w:pPr>
        <w:spacing w:line="360" w:lineRule="auto"/>
        <w:ind w:firstLine="440" w:firstLineChars="200"/>
        <w:rPr>
          <w:rFonts w:hint="eastAsia" w:asciiTheme="minorEastAsia" w:hAnsiTheme="minorEastAsia" w:eastAsiaTheme="minorEastAsia"/>
          <w:color w:val="00B0F0"/>
          <w:sz w:val="22"/>
          <w:lang w:val="en-US" w:eastAsia="zh-CN"/>
        </w:rPr>
      </w:pPr>
      <w:r>
        <w:rPr>
          <w:rFonts w:hint="eastAsia" w:asciiTheme="minorEastAsia" w:hAnsiTheme="minorEastAsia"/>
          <w:color w:val="00B0F0"/>
          <w:sz w:val="22"/>
        </w:rPr>
        <w:t>（2）暂估价：</w:t>
      </w:r>
      <w:r>
        <w:rPr>
          <w:rFonts w:hint="eastAsia" w:asciiTheme="minorEastAsia" w:hAnsiTheme="minorEastAsia"/>
          <w:color w:val="FF0000"/>
          <w:sz w:val="22"/>
          <w:lang w:val="en-US" w:eastAsia="zh-CN"/>
        </w:rPr>
        <w:t>无</w:t>
      </w:r>
    </w:p>
    <w:p>
      <w:pPr>
        <w:spacing w:line="360" w:lineRule="auto"/>
        <w:ind w:firstLine="442" w:firstLineChars="200"/>
        <w:rPr>
          <w:rFonts w:asciiTheme="minorEastAsia" w:hAnsiTheme="minorEastAsia"/>
          <w:b/>
          <w:i/>
          <w:color w:val="FF0000"/>
          <w:sz w:val="22"/>
          <w:u w:val="single"/>
        </w:rPr>
      </w:pPr>
      <w:r>
        <w:rPr>
          <w:rFonts w:hint="eastAsia" w:asciiTheme="minorEastAsia" w:hAnsiTheme="minorEastAsia"/>
          <w:b/>
          <w:sz w:val="22"/>
        </w:rPr>
        <w:t>五、图纸及工程量计算中的相关说明</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1、通用部分</w:t>
      </w:r>
    </w:p>
    <w:p>
      <w:pPr>
        <w:spacing w:line="360" w:lineRule="auto"/>
        <w:ind w:firstLine="440" w:firstLineChars="200"/>
        <w:rPr>
          <w:rFonts w:asciiTheme="minorEastAsia" w:hAnsiTheme="minorEastAsia"/>
          <w:color w:val="00B0F0"/>
          <w:sz w:val="22"/>
          <w:highlight w:val="none"/>
        </w:rPr>
      </w:pPr>
      <w:r>
        <w:rPr>
          <w:rFonts w:hint="eastAsia" w:asciiTheme="minorEastAsia" w:hAnsiTheme="minorEastAsia"/>
          <w:color w:val="00B0F0"/>
          <w:sz w:val="22"/>
          <w:highlight w:val="none"/>
        </w:rPr>
        <w:t>（1）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2</w:t>
      </w:r>
      <w:r>
        <w:rPr>
          <w:rFonts w:hint="eastAsia"/>
          <w:color w:val="00B0F0"/>
          <w:sz w:val="22"/>
          <w:lang w:eastAsia="zh-CN"/>
        </w:rPr>
        <w:t>）</w:t>
      </w:r>
      <w:r>
        <w:rPr>
          <w:rFonts w:hint="eastAsia"/>
          <w:color w:val="00B0F0"/>
          <w:sz w:val="22"/>
        </w:rPr>
        <w:t>本工程所用砂浆皆为预拌砂浆，现场是否使用干拌或湿拌砂浆由投标人自行考虑，结算时不调整。</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3</w:t>
      </w:r>
      <w:r>
        <w:rPr>
          <w:rFonts w:hint="eastAsia"/>
          <w:color w:val="00B0F0"/>
          <w:sz w:val="22"/>
          <w:lang w:eastAsia="zh-CN"/>
        </w:rPr>
        <w:t>）</w:t>
      </w:r>
      <w:r>
        <w:rPr>
          <w:rFonts w:hint="eastAsia"/>
          <w:color w:val="00B0F0"/>
          <w:sz w:val="22"/>
        </w:rPr>
        <w:t>大型机械进出场费用投标人综合考虑，结算时不再调整。</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4</w:t>
      </w:r>
      <w:r>
        <w:rPr>
          <w:rFonts w:hint="eastAsia"/>
          <w:color w:val="00B0F0"/>
          <w:sz w:val="22"/>
          <w:lang w:eastAsia="zh-CN"/>
        </w:rPr>
        <w:t>）</w:t>
      </w:r>
      <w:r>
        <w:rPr>
          <w:rFonts w:hint="eastAsia"/>
          <w:color w:val="00B0F0"/>
          <w:sz w:val="22"/>
        </w:rPr>
        <w:t>投标人在投标报价时结合现场实际情况考虑夜间施工及围挡防护安全，结算时不再调整。</w:t>
      </w:r>
    </w:p>
    <w:p>
      <w:pPr>
        <w:spacing w:line="360" w:lineRule="auto"/>
        <w:ind w:firstLine="440" w:firstLineChars="200"/>
        <w:rPr>
          <w:rFonts w:hint="eastAsia"/>
          <w:color w:val="00B0F0"/>
          <w:sz w:val="22"/>
          <w:lang w:val="zh-CN"/>
        </w:rPr>
      </w:pPr>
      <w:r>
        <w:rPr>
          <w:rFonts w:hint="eastAsia"/>
          <w:color w:val="00B0F0"/>
          <w:sz w:val="22"/>
          <w:lang w:eastAsia="zh-CN"/>
        </w:rPr>
        <w:t>（</w:t>
      </w:r>
      <w:r>
        <w:rPr>
          <w:rFonts w:hint="eastAsia"/>
          <w:color w:val="00B0F0"/>
          <w:sz w:val="22"/>
          <w:lang w:val="en-US" w:eastAsia="zh-CN"/>
        </w:rPr>
        <w:t>5</w:t>
      </w:r>
      <w:r>
        <w:rPr>
          <w:rFonts w:hint="eastAsia"/>
          <w:color w:val="00B0F0"/>
          <w:sz w:val="22"/>
          <w:lang w:eastAsia="zh-CN"/>
        </w:rPr>
        <w:t>）</w:t>
      </w:r>
      <w:r>
        <w:rPr>
          <w:rFonts w:hint="eastAsia"/>
          <w:color w:val="00B0F0"/>
          <w:sz w:val="22"/>
          <w:lang w:val="zh-CN"/>
        </w:rPr>
        <w:t>措施费项目投标单位可自行增添内容，自行报价，未计放部分按优惠考虑，结算时不再调整，投标人在报价中应充分考虑所涉及的各项措施费及风险因素后再进行报价，</w:t>
      </w:r>
      <w:r>
        <w:rPr>
          <w:rFonts w:hint="eastAsia"/>
          <w:color w:val="00B0F0"/>
          <w:sz w:val="22"/>
        </w:rPr>
        <w:t>不可竞争费按规定报价。</w:t>
      </w:r>
    </w:p>
    <w:p>
      <w:pPr>
        <w:spacing w:line="360" w:lineRule="auto"/>
        <w:ind w:firstLine="440" w:firstLineChars="200"/>
        <w:rPr>
          <w:rFonts w:hint="eastAsia"/>
          <w:color w:val="00B0F0"/>
          <w:sz w:val="22"/>
          <w:lang w:val="zh-CN"/>
        </w:rPr>
      </w:pPr>
      <w:r>
        <w:rPr>
          <w:rFonts w:hint="eastAsia"/>
          <w:color w:val="00B0F0"/>
          <w:sz w:val="22"/>
          <w:lang w:eastAsia="zh-CN"/>
        </w:rPr>
        <w:t>（</w:t>
      </w:r>
      <w:r>
        <w:rPr>
          <w:rFonts w:hint="eastAsia"/>
          <w:color w:val="00B0F0"/>
          <w:sz w:val="22"/>
          <w:lang w:val="en-US" w:eastAsia="zh-CN"/>
        </w:rPr>
        <w:t>6</w:t>
      </w:r>
      <w:r>
        <w:rPr>
          <w:rFonts w:hint="eastAsia"/>
          <w:color w:val="00B0F0"/>
          <w:sz w:val="22"/>
          <w:lang w:eastAsia="zh-CN"/>
        </w:rPr>
        <w:t>）</w:t>
      </w:r>
      <w:r>
        <w:rPr>
          <w:rFonts w:hint="eastAsia"/>
          <w:color w:val="00B0F0"/>
          <w:sz w:val="22"/>
          <w:lang w:val="zh-CN"/>
        </w:rPr>
        <w:t>施工现场、交通运输情况及自然地理条件由投标人自行现场勘察，应充分考虑本工程场地现状的特点，可能对工程施工造成的影响并由此增加的费用等，做出考量一并考虑在投标报价中。</w:t>
      </w:r>
    </w:p>
    <w:p>
      <w:pPr>
        <w:spacing w:line="360" w:lineRule="auto"/>
        <w:ind w:firstLine="440" w:firstLineChars="200"/>
        <w:rPr>
          <w:rFonts w:hint="eastAsia"/>
          <w:color w:val="00B0F0"/>
          <w:sz w:val="22"/>
          <w:lang w:val="zh-CN"/>
        </w:rPr>
      </w:pPr>
      <w:r>
        <w:rPr>
          <w:rFonts w:hint="eastAsia"/>
          <w:color w:val="00B0F0"/>
          <w:sz w:val="22"/>
          <w:lang w:eastAsia="zh-CN"/>
        </w:rPr>
        <w:t>（</w:t>
      </w:r>
      <w:r>
        <w:rPr>
          <w:rFonts w:hint="eastAsia"/>
          <w:color w:val="00B0F0"/>
          <w:sz w:val="22"/>
          <w:lang w:val="en-US" w:eastAsia="zh-CN"/>
        </w:rPr>
        <w:t>7</w:t>
      </w:r>
      <w:r>
        <w:rPr>
          <w:rFonts w:hint="eastAsia"/>
          <w:color w:val="00B0F0"/>
          <w:sz w:val="22"/>
          <w:lang w:eastAsia="zh-CN"/>
        </w:rPr>
        <w:t>）</w:t>
      </w:r>
      <w:r>
        <w:rPr>
          <w:rFonts w:hint="eastAsia"/>
          <w:color w:val="00B0F0"/>
          <w:sz w:val="22"/>
          <w:lang w:val="zh-CN"/>
        </w:rPr>
        <w:t>清单中项目特征描述不详处，以图纸为准，投标报价时应考虑图纸所示施工要求等一切费用。</w:t>
      </w:r>
    </w:p>
    <w:p>
      <w:pPr>
        <w:spacing w:line="360" w:lineRule="auto"/>
        <w:ind w:firstLine="440" w:firstLineChars="200"/>
        <w:rPr>
          <w:rFonts w:hint="eastAsia"/>
          <w:color w:val="00B0F0"/>
          <w:sz w:val="22"/>
          <w:lang w:val="zh-CN"/>
        </w:rPr>
      </w:pPr>
      <w:r>
        <w:rPr>
          <w:rFonts w:hint="eastAsia"/>
          <w:color w:val="00B0F0"/>
          <w:sz w:val="22"/>
          <w:lang w:eastAsia="zh-CN"/>
        </w:rPr>
        <w:t>（</w:t>
      </w:r>
      <w:r>
        <w:rPr>
          <w:rFonts w:hint="eastAsia"/>
          <w:color w:val="00B0F0"/>
          <w:sz w:val="22"/>
          <w:lang w:val="en-US" w:eastAsia="zh-CN"/>
        </w:rPr>
        <w:t>8</w:t>
      </w:r>
      <w:r>
        <w:rPr>
          <w:rFonts w:hint="eastAsia"/>
          <w:color w:val="00B0F0"/>
          <w:sz w:val="22"/>
          <w:lang w:eastAsia="zh-CN"/>
        </w:rPr>
        <w:t>）</w:t>
      </w:r>
      <w:r>
        <w:rPr>
          <w:rFonts w:hint="eastAsia"/>
          <w:color w:val="00B0F0"/>
          <w:sz w:val="22"/>
          <w:lang w:val="zh-CN"/>
        </w:rPr>
        <w:t>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9</w:t>
      </w:r>
      <w:r>
        <w:rPr>
          <w:rFonts w:hint="eastAsia"/>
          <w:color w:val="00B0F0"/>
          <w:sz w:val="22"/>
          <w:lang w:eastAsia="zh-CN"/>
        </w:rPr>
        <w:t>）</w:t>
      </w:r>
      <w:r>
        <w:rPr>
          <w:rFonts w:hint="eastAsia"/>
          <w:color w:val="00B0F0"/>
          <w:sz w:val="22"/>
        </w:rPr>
        <w:t>投标人应对图纸内容和清单中的每一个项目进行报价（包括综合单价及合价），如漏报或少报项目，则视为其费用已含在其它项目的综合单价或合价中，结算时不调整。</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10</w:t>
      </w:r>
      <w:r>
        <w:rPr>
          <w:rFonts w:hint="eastAsia"/>
          <w:color w:val="00B0F0"/>
          <w:sz w:val="22"/>
          <w:lang w:eastAsia="zh-CN"/>
        </w:rPr>
        <w:t>）</w:t>
      </w:r>
      <w:r>
        <w:rPr>
          <w:rFonts w:hint="eastAsia"/>
          <w:color w:val="00B0F0"/>
          <w:sz w:val="22"/>
        </w:rPr>
        <w:t>工程量清单中的总价措施项目费用除安全文明措施费用按规定费率调整外，其余措施项目费用由投标单位踏勘现场后，根据施工组织设计及有关现行施工要求自行考虑完整计入投标报价中。措施费应包括场内外运输、机械进退场、临时设施、材料周转、垂直运输、二次搬运、高压防护、赶工措施、机械停置、噪音排污、围挡、非夜间施工照明费、夜间施工费、冬雨季施工、地上、地下设施、建筑物的临时保护设施、已完工程及设备保护、赶工措施、管线调查与保护、已完工程及设备保护费、交通协调以及根据本招标文件要求的风险金等全部费用。未计入部分按优惠考虑、结算时不再调整。</w:t>
      </w:r>
    </w:p>
    <w:p>
      <w:pPr>
        <w:spacing w:line="360" w:lineRule="auto"/>
        <w:ind w:firstLine="440" w:firstLineChars="200"/>
        <w:rPr>
          <w:rFonts w:hint="eastAsia"/>
          <w:color w:val="00B0F0"/>
          <w:sz w:val="22"/>
          <w:szCs w:val="22"/>
          <w:lang w:val="zh-CN" w:eastAsia="zh-CN"/>
        </w:rPr>
      </w:pPr>
      <w:r>
        <w:rPr>
          <w:rFonts w:hint="eastAsia"/>
          <w:color w:val="00B0F0"/>
          <w:sz w:val="22"/>
          <w:szCs w:val="22"/>
          <w:lang w:val="en-US" w:eastAsia="zh-CN"/>
        </w:rPr>
        <w:t>（11）</w:t>
      </w:r>
      <w:r>
        <w:rPr>
          <w:rFonts w:hint="eastAsia"/>
          <w:color w:val="00B0F0"/>
          <w:sz w:val="22"/>
          <w:szCs w:val="22"/>
          <w:lang w:val="zh-CN" w:eastAsia="zh-CN"/>
        </w:rPr>
        <w:t>施工现场、交通运输情况及自然地理条件由投标人自行现场勘察，应充分考虑本工程场地现状的特点，可能对工程施工造成的影响并由此增加的费用等，做出考量一并考虑在投标报价中。</w:t>
      </w:r>
    </w:p>
    <w:p>
      <w:pPr>
        <w:spacing w:line="360" w:lineRule="auto"/>
        <w:ind w:firstLine="440" w:firstLineChars="200"/>
        <w:rPr>
          <w:rFonts w:asciiTheme="minorEastAsia" w:hAnsiTheme="minorEastAsia"/>
          <w:color w:val="00B0F0"/>
          <w:sz w:val="22"/>
          <w:highlight w:val="yellow"/>
        </w:rPr>
      </w:pPr>
      <w:r>
        <w:rPr>
          <w:rFonts w:hint="eastAsia"/>
          <w:color w:val="00B0F0"/>
          <w:sz w:val="22"/>
          <w:szCs w:val="22"/>
          <w:lang w:val="en-US" w:eastAsia="zh-CN"/>
        </w:rPr>
        <w:t>（12）</w:t>
      </w:r>
      <w:r>
        <w:rPr>
          <w:rFonts w:hint="eastAsia"/>
          <w:color w:val="00B0F0"/>
          <w:sz w:val="22"/>
          <w:szCs w:val="22"/>
          <w:lang w:val="zh-CN" w:eastAsia="zh-CN"/>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w:t>
      </w:r>
      <w:r>
        <w:rPr>
          <w:rFonts w:hint="eastAsia"/>
          <w:color w:val="00B0F0"/>
          <w:sz w:val="22"/>
          <w:lang w:val="zh-CN"/>
        </w:rPr>
        <w:t>条款及清单描述有冲突的，投标人应在“澄清答疑”环节中向招标人提出，招标人将在“澄清答疑”环节中答复；投标人未在“澄清答疑”环节提出的，则最终解释权归属于招标人。</w:t>
      </w:r>
    </w:p>
    <w:p>
      <w:pPr>
        <w:spacing w:line="360" w:lineRule="auto"/>
        <w:ind w:firstLine="440" w:firstLineChars="200"/>
        <w:rPr>
          <w:rFonts w:hint="eastAsia"/>
          <w:color w:val="00B0F0"/>
          <w:sz w:val="22"/>
          <w:lang w:val="en-US" w:eastAsia="zh-CN"/>
        </w:rPr>
      </w:pPr>
      <w:r>
        <w:rPr>
          <w:rFonts w:hint="eastAsia"/>
          <w:color w:val="00B0F0"/>
          <w:sz w:val="22"/>
        </w:rPr>
        <w:t>2、</w:t>
      </w:r>
      <w:r>
        <w:rPr>
          <w:rFonts w:hint="eastAsia"/>
          <w:color w:val="00B0F0"/>
          <w:sz w:val="22"/>
          <w:lang w:val="en-US" w:eastAsia="zh-CN"/>
        </w:rPr>
        <w:t>土建工程</w:t>
      </w:r>
    </w:p>
    <w:p>
      <w:pPr>
        <w:spacing w:line="360" w:lineRule="auto"/>
        <w:ind w:firstLine="440" w:firstLineChars="200"/>
        <w:rPr>
          <w:rFonts w:hint="default"/>
          <w:color w:val="00B0F0"/>
          <w:sz w:val="22"/>
          <w:szCs w:val="22"/>
          <w:lang w:val="en-US" w:eastAsia="zh-CN"/>
        </w:rPr>
      </w:pPr>
      <w:r>
        <w:rPr>
          <w:rFonts w:hint="eastAsia"/>
          <w:color w:val="00B0F0"/>
          <w:sz w:val="22"/>
          <w:szCs w:val="22"/>
          <w:lang w:val="en-US" w:eastAsia="zh-CN"/>
        </w:rPr>
        <w:t>（1）本工程为栏杆拆除新作、路面恢复、平移门新做。伸缩门、闸机不在本次范围内；</w:t>
      </w:r>
    </w:p>
    <w:p>
      <w:pPr>
        <w:spacing w:line="360" w:lineRule="auto"/>
        <w:ind w:firstLine="440" w:firstLineChars="200"/>
        <w:rPr>
          <w:rFonts w:hint="eastAsia"/>
          <w:color w:val="00B0F0"/>
          <w:sz w:val="22"/>
          <w:szCs w:val="22"/>
          <w:lang w:val="en-US" w:eastAsia="zh-CN"/>
        </w:rPr>
      </w:pPr>
      <w:r>
        <w:rPr>
          <w:rFonts w:hint="eastAsia"/>
          <w:color w:val="00B0F0"/>
          <w:sz w:val="22"/>
          <w:szCs w:val="22"/>
          <w:lang w:val="en-US" w:eastAsia="zh-CN"/>
        </w:rPr>
        <w:t>（2）本次拆除栏杆暂按120米计算，结算时按实调整；</w:t>
      </w:r>
    </w:p>
    <w:p>
      <w:pPr>
        <w:spacing w:line="360" w:lineRule="auto"/>
        <w:ind w:firstLine="440" w:firstLineChars="200"/>
        <w:rPr>
          <w:rFonts w:hint="eastAsia"/>
          <w:color w:val="00B0F0"/>
          <w:sz w:val="22"/>
          <w:szCs w:val="22"/>
          <w:lang w:val="en-US" w:eastAsia="zh-CN"/>
        </w:rPr>
      </w:pPr>
      <w:r>
        <w:rPr>
          <w:rFonts w:hint="eastAsia"/>
          <w:color w:val="00B0F0"/>
          <w:sz w:val="22"/>
          <w:szCs w:val="22"/>
          <w:lang w:val="en-US" w:eastAsia="zh-CN"/>
        </w:rPr>
        <w:t>（3）地面栏杆柱预埋，地面拆除尺寸暂按600mm×600mm考虑，拆除沥青层厚度按100mm考虑，混凝土层按220mm考虑，结算时根据实际拆除量按实结算；</w:t>
      </w:r>
    </w:p>
    <w:p>
      <w:pPr>
        <w:spacing w:line="360" w:lineRule="auto"/>
        <w:ind w:firstLine="663" w:firstLineChars="300"/>
        <w:rPr>
          <w:rFonts w:asciiTheme="minorEastAsia" w:hAnsiTheme="minorEastAsia"/>
          <w:b/>
          <w:sz w:val="22"/>
        </w:rPr>
      </w:pPr>
      <w:r>
        <w:rPr>
          <w:rFonts w:hint="eastAsia" w:asciiTheme="minorEastAsia" w:hAnsiTheme="minorEastAsia"/>
          <w:b/>
          <w:sz w:val="22"/>
        </w:rPr>
        <w:t>六、主要材料设备</w:t>
      </w:r>
    </w:p>
    <w:p>
      <w:pPr>
        <w:spacing w:line="360" w:lineRule="auto"/>
        <w:ind w:firstLine="442" w:firstLineChars="200"/>
        <w:rPr>
          <w:rFonts w:asciiTheme="minorEastAsia" w:hAnsiTheme="minorEastAsia"/>
          <w:b/>
          <w:sz w:val="22"/>
        </w:rPr>
      </w:pPr>
      <w:r>
        <w:rPr>
          <w:rFonts w:hint="eastAsia" w:asciiTheme="minorEastAsia" w:hAnsiTheme="minorEastAsia"/>
          <w:b/>
          <w:sz w:val="22"/>
        </w:rPr>
        <w:t>（一）投标人负责采购的主要材料设备</w:t>
      </w:r>
    </w:p>
    <w:p>
      <w:pPr>
        <w:spacing w:line="360" w:lineRule="auto"/>
        <w:ind w:firstLine="440" w:firstLineChars="200"/>
        <w:rPr>
          <w:rFonts w:asciiTheme="minorEastAsia" w:hAnsiTheme="minorEastAsia"/>
          <w:sz w:val="22"/>
        </w:rPr>
      </w:pPr>
      <w:r>
        <w:rPr>
          <w:rFonts w:hint="eastAsia" w:asciiTheme="minorEastAsia" w:hAnsiTheme="minor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pPr>
        <w:numPr>
          <w:ilvl w:val="0"/>
          <w:numId w:val="1"/>
        </w:numPr>
        <w:spacing w:line="360" w:lineRule="auto"/>
        <w:ind w:firstLine="440" w:firstLineChars="200"/>
        <w:rPr>
          <w:rFonts w:hint="default" w:asciiTheme="minorEastAsia" w:hAnsiTheme="minorEastAsia" w:eastAsiaTheme="minorEastAsia"/>
          <w:sz w:val="22"/>
          <w:lang w:val="en-US" w:eastAsia="zh-CN"/>
        </w:rPr>
      </w:pPr>
      <w:r>
        <w:rPr>
          <w:rFonts w:hint="eastAsia" w:asciiTheme="minorEastAsia" w:hAnsiTheme="minorEastAsia"/>
          <w:sz w:val="22"/>
        </w:rPr>
        <w:t>本项目主要材料品牌推荐表如下：</w:t>
      </w:r>
    </w:p>
    <w:tbl>
      <w:tblPr>
        <w:tblStyle w:val="25"/>
        <w:tblW w:w="48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836"/>
        <w:gridCol w:w="1924"/>
        <w:gridCol w:w="3622"/>
        <w:gridCol w:w="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序号</w:t>
            </w:r>
          </w:p>
        </w:tc>
        <w:tc>
          <w:tcPr>
            <w:tcW w:w="1014"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材料设备名称</w:t>
            </w:r>
          </w:p>
        </w:tc>
        <w:tc>
          <w:tcPr>
            <w:tcW w:w="1063"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推荐品牌（系列）</w:t>
            </w:r>
          </w:p>
        </w:tc>
        <w:tc>
          <w:tcPr>
            <w:tcW w:w="2001"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制造商名称</w:t>
            </w:r>
          </w:p>
        </w:tc>
        <w:tc>
          <w:tcPr>
            <w:tcW w:w="542"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restart"/>
            <w:vAlign w:val="center"/>
          </w:tcPr>
          <w:p>
            <w:pPr>
              <w:spacing w:line="360" w:lineRule="auto"/>
              <w:jc w:val="both"/>
              <w:rPr>
                <w:rFonts w:hint="eastAsia" w:asciiTheme="minorEastAsia" w:hAnsiTheme="minorEastAsia" w:eastAsiaTheme="minorEastAsia" w:cstheme="minorEastAsia"/>
                <w:color w:val="FF0000"/>
                <w:sz w:val="22"/>
                <w:lang w:val="en-US" w:eastAsia="zh-CN"/>
              </w:rPr>
            </w:pPr>
            <w:r>
              <w:rPr>
                <w:rFonts w:hint="eastAsia" w:asciiTheme="minorEastAsia" w:hAnsiTheme="minorEastAsia" w:eastAsiaTheme="minorEastAsia" w:cstheme="minorEastAsia"/>
                <w:color w:val="FF0000"/>
                <w:sz w:val="22"/>
                <w:lang w:val="en-US" w:eastAsia="zh-CN"/>
              </w:rPr>
              <w:t>1</w:t>
            </w:r>
          </w:p>
        </w:tc>
        <w:tc>
          <w:tcPr>
            <w:tcW w:w="1014" w:type="pct"/>
            <w:vMerge w:val="restar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（热镀锌)钢管、焊接钢管、热浸锌钢管</w:t>
            </w:r>
          </w:p>
        </w:tc>
        <w:tc>
          <w:tcPr>
            <w:tcW w:w="1063" w:type="pct"/>
            <w:vAlign w:val="center"/>
          </w:tcPr>
          <w:p>
            <w:pPr>
              <w:spacing w:line="360" w:lineRule="auto"/>
              <w:jc w:val="center"/>
              <w:rPr>
                <w:rFonts w:hint="eastAsia" w:asciiTheme="minorEastAsia" w:hAnsiTheme="minorEastAsia" w:eastAsiaTheme="minorEastAsia"/>
                <w:color w:val="FF0000"/>
                <w:sz w:val="22"/>
                <w:lang w:val="en-US" w:eastAsia="zh-CN"/>
              </w:rPr>
            </w:pPr>
            <w:r>
              <w:rPr>
                <w:rFonts w:hint="eastAsia" w:asciiTheme="minorEastAsia" w:hAnsiTheme="minorEastAsia" w:eastAsiaTheme="minorEastAsia"/>
                <w:color w:val="FF0000"/>
                <w:sz w:val="22"/>
                <w:lang w:val="en-US" w:eastAsia="zh-CN"/>
              </w:rPr>
              <w:t>天虹</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邯郸正大制管集团股份有限公司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both"/>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金洲</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浙江金洲管道科技股份有限公司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both"/>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友发</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天津友发钢管集团股份有限公司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378" w:type="pct"/>
            <w:vMerge w:val="restart"/>
            <w:vAlign w:val="center"/>
          </w:tcPr>
          <w:p>
            <w:pPr>
              <w:spacing w:line="360" w:lineRule="auto"/>
              <w:jc w:val="both"/>
              <w:rPr>
                <w:rFonts w:hint="eastAsia" w:asciiTheme="minorEastAsia" w:hAnsiTheme="minorEastAsia" w:eastAsiaTheme="minorEastAsia" w:cstheme="minorEastAsia"/>
                <w:color w:val="FF0000"/>
                <w:sz w:val="22"/>
                <w:lang w:val="en-US" w:eastAsia="zh-CN"/>
              </w:rPr>
            </w:pPr>
            <w:r>
              <w:rPr>
                <w:rFonts w:hint="eastAsia" w:asciiTheme="minorEastAsia" w:hAnsiTheme="minorEastAsia" w:eastAsiaTheme="minorEastAsia" w:cstheme="minorEastAsia"/>
                <w:color w:val="FF0000"/>
                <w:sz w:val="22"/>
                <w:lang w:val="en-US" w:eastAsia="zh-CN"/>
              </w:rPr>
              <w:t>2</w:t>
            </w:r>
          </w:p>
        </w:tc>
        <w:tc>
          <w:tcPr>
            <w:tcW w:w="1014" w:type="pct"/>
            <w:vMerge w:val="restart"/>
            <w:vAlign w:val="center"/>
          </w:tcPr>
          <w:p>
            <w:pPr>
              <w:spacing w:line="360" w:lineRule="auto"/>
              <w:jc w:val="center"/>
              <w:rPr>
                <w:rFonts w:hint="eastAsia" w:asciiTheme="minorEastAsia" w:hAnsiTheme="minorEastAsia" w:eastAsiaTheme="minorEastAsia"/>
                <w:color w:val="FF0000"/>
                <w:sz w:val="22"/>
                <w:lang w:val="en-US" w:eastAsia="zh-CN"/>
              </w:rPr>
            </w:pPr>
            <w:r>
              <w:rPr>
                <w:rFonts w:hint="eastAsia" w:asciiTheme="minorEastAsia" w:hAnsiTheme="minorEastAsia" w:eastAsiaTheme="minorEastAsia"/>
                <w:color w:val="FF0000"/>
                <w:sz w:val="22"/>
                <w:lang w:val="en-US" w:eastAsia="zh-CN"/>
              </w:rPr>
              <w:t>不锈钢板</w:t>
            </w:r>
          </w:p>
        </w:tc>
        <w:tc>
          <w:tcPr>
            <w:tcW w:w="1063"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太钢</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太原钢铁（集团）有限公司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both"/>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ZPSS</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浦项（张家港）不锈钢股份有限公司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378" w:type="pct"/>
            <w:vMerge w:val="continue"/>
            <w:vAlign w:val="center"/>
          </w:tcPr>
          <w:p>
            <w:pPr>
              <w:spacing w:line="360" w:lineRule="auto"/>
              <w:jc w:val="both"/>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宝钢</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上海宝钢股份有限公司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restart"/>
            <w:vAlign w:val="center"/>
          </w:tcPr>
          <w:p>
            <w:pPr>
              <w:spacing w:line="360" w:lineRule="auto"/>
              <w:jc w:val="both"/>
              <w:rPr>
                <w:rFonts w:hint="eastAsia" w:asciiTheme="minorEastAsia" w:hAnsiTheme="minorEastAsia" w:eastAsiaTheme="minorEastAsia" w:cstheme="minorEastAsia"/>
                <w:color w:val="FF0000"/>
                <w:sz w:val="22"/>
                <w:lang w:val="en-US" w:eastAsia="zh-CN"/>
              </w:rPr>
            </w:pPr>
            <w:r>
              <w:rPr>
                <w:rFonts w:hint="eastAsia" w:asciiTheme="minorEastAsia" w:hAnsiTheme="minorEastAsia" w:eastAsiaTheme="minorEastAsia" w:cstheme="minorEastAsia"/>
                <w:color w:val="FF0000"/>
                <w:sz w:val="22"/>
                <w:lang w:val="en-US" w:eastAsia="zh-CN"/>
              </w:rPr>
              <w:t>6</w:t>
            </w:r>
          </w:p>
        </w:tc>
        <w:tc>
          <w:tcPr>
            <w:tcW w:w="1014" w:type="pct"/>
            <w:vMerge w:val="restart"/>
            <w:vAlign w:val="center"/>
          </w:tcPr>
          <w:p>
            <w:pPr>
              <w:spacing w:line="360" w:lineRule="auto"/>
              <w:jc w:val="center"/>
              <w:rPr>
                <w:rFonts w:hint="eastAsia" w:asciiTheme="minorEastAsia" w:hAnsiTheme="minorEastAsia" w:eastAsiaTheme="minorEastAsia"/>
                <w:color w:val="FF0000"/>
                <w:sz w:val="22"/>
                <w:lang w:eastAsia="zh-CN"/>
              </w:rPr>
            </w:pPr>
            <w:r>
              <w:rPr>
                <w:rFonts w:hint="eastAsia" w:asciiTheme="minorEastAsia" w:hAnsiTheme="minorEastAsia"/>
                <w:color w:val="FF0000"/>
                <w:sz w:val="22"/>
                <w:lang w:val="en-US" w:eastAsia="zh-CN"/>
              </w:rPr>
              <w:t>水泥</w:t>
            </w:r>
          </w:p>
        </w:tc>
        <w:tc>
          <w:tcPr>
            <w:tcW w:w="1063" w:type="pct"/>
            <w:vAlign w:val="center"/>
          </w:tcPr>
          <w:p>
            <w:pPr>
              <w:spacing w:line="360" w:lineRule="auto"/>
              <w:jc w:val="center"/>
              <w:rPr>
                <w:rFonts w:hint="eastAsia" w:asciiTheme="minorEastAsia" w:hAnsiTheme="minorEastAsia"/>
                <w:color w:val="FF0000"/>
                <w:sz w:val="22"/>
              </w:rPr>
            </w:pPr>
            <w:r>
              <w:rPr>
                <w:rFonts w:hint="eastAsia" w:asciiTheme="minorEastAsia" w:hAnsiTheme="minorEastAsia"/>
                <w:color w:val="FF0000"/>
                <w:sz w:val="22"/>
              </w:rPr>
              <w:t>海螺</w:t>
            </w:r>
          </w:p>
        </w:tc>
        <w:tc>
          <w:tcPr>
            <w:tcW w:w="2001" w:type="pct"/>
            <w:vAlign w:val="center"/>
          </w:tcPr>
          <w:p>
            <w:pPr>
              <w:spacing w:line="360" w:lineRule="auto"/>
              <w:jc w:val="center"/>
              <w:rPr>
                <w:rFonts w:hint="eastAsia" w:asciiTheme="minorEastAsia" w:hAnsiTheme="minorEastAsia"/>
                <w:color w:val="FF0000"/>
                <w:sz w:val="22"/>
              </w:rPr>
            </w:pPr>
            <w:r>
              <w:rPr>
                <w:rFonts w:hint="eastAsia" w:asciiTheme="minorEastAsia" w:hAnsiTheme="minorEastAsia"/>
                <w:color w:val="FF0000"/>
                <w:sz w:val="22"/>
              </w:rPr>
              <w:t>安徽海螺水泥股份有限公司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both"/>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hint="eastAsia" w:asciiTheme="minorEastAsia" w:hAnsiTheme="minorEastAsia"/>
                <w:color w:val="FF0000"/>
                <w:sz w:val="22"/>
              </w:rPr>
            </w:pPr>
            <w:r>
              <w:rPr>
                <w:rFonts w:hint="eastAsia" w:asciiTheme="minorEastAsia" w:hAnsiTheme="minorEastAsia"/>
                <w:color w:val="FF0000"/>
                <w:sz w:val="22"/>
              </w:rPr>
              <w:t>鹤林</w:t>
            </w:r>
          </w:p>
        </w:tc>
        <w:tc>
          <w:tcPr>
            <w:tcW w:w="2001" w:type="pct"/>
            <w:vAlign w:val="center"/>
          </w:tcPr>
          <w:p>
            <w:pPr>
              <w:spacing w:line="360" w:lineRule="auto"/>
              <w:jc w:val="center"/>
              <w:rPr>
                <w:rFonts w:hint="eastAsia" w:asciiTheme="minorEastAsia" w:hAnsiTheme="minorEastAsia"/>
                <w:color w:val="FF0000"/>
                <w:sz w:val="22"/>
              </w:rPr>
            </w:pPr>
            <w:r>
              <w:rPr>
                <w:rFonts w:hint="eastAsia" w:asciiTheme="minorEastAsia" w:hAnsiTheme="minorEastAsia"/>
                <w:color w:val="FF0000"/>
                <w:sz w:val="22"/>
              </w:rPr>
              <w:t>江苏鹤林水泥有限公司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both"/>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hint="eastAsia" w:asciiTheme="minorEastAsia" w:hAnsiTheme="minorEastAsia"/>
                <w:color w:val="FF0000"/>
                <w:sz w:val="22"/>
              </w:rPr>
            </w:pPr>
            <w:r>
              <w:rPr>
                <w:rFonts w:hint="eastAsia" w:asciiTheme="minorEastAsia" w:hAnsiTheme="minorEastAsia"/>
                <w:color w:val="FF0000"/>
                <w:sz w:val="22"/>
              </w:rPr>
              <w:t>中联</w:t>
            </w:r>
          </w:p>
        </w:tc>
        <w:tc>
          <w:tcPr>
            <w:tcW w:w="2001" w:type="pct"/>
            <w:vAlign w:val="center"/>
          </w:tcPr>
          <w:p>
            <w:pPr>
              <w:spacing w:line="360" w:lineRule="auto"/>
              <w:jc w:val="center"/>
              <w:rPr>
                <w:rFonts w:hint="eastAsia" w:asciiTheme="minorEastAsia" w:hAnsiTheme="minorEastAsia"/>
                <w:color w:val="FF0000"/>
                <w:sz w:val="22"/>
              </w:rPr>
            </w:pPr>
            <w:r>
              <w:rPr>
                <w:rFonts w:hint="eastAsia" w:asciiTheme="minorEastAsia" w:hAnsiTheme="minorEastAsia"/>
                <w:color w:val="FF0000"/>
                <w:sz w:val="22"/>
              </w:rPr>
              <w:t>中国联合水泥集团有限公司</w:t>
            </w:r>
          </w:p>
        </w:tc>
        <w:tc>
          <w:tcPr>
            <w:tcW w:w="542" w:type="pct"/>
            <w:vAlign w:val="center"/>
          </w:tcPr>
          <w:p>
            <w:pPr>
              <w:spacing w:line="360" w:lineRule="auto"/>
              <w:jc w:val="center"/>
              <w:rPr>
                <w:rFonts w:asciiTheme="minorEastAsia" w:hAnsiTheme="minorEastAsia"/>
                <w:color w:val="FF0000"/>
                <w:sz w:val="22"/>
              </w:rPr>
            </w:pPr>
          </w:p>
        </w:tc>
      </w:tr>
    </w:tbl>
    <w:p>
      <w:pPr>
        <w:keepNext w:val="0"/>
        <w:keepLines w:val="0"/>
        <w:pageBreakBefore w:val="0"/>
        <w:widowControl w:val="0"/>
        <w:kinsoku/>
        <w:wordWrap/>
        <w:overflowPunct/>
        <w:topLinePunct w:val="0"/>
        <w:autoSpaceDE/>
        <w:autoSpaceDN/>
        <w:bidi w:val="0"/>
        <w:adjustRightInd/>
        <w:snapToGrid/>
        <w:jc w:val="both"/>
        <w:textAlignment w:val="auto"/>
      </w:pPr>
    </w:p>
    <w:p>
      <w:pPr>
        <w:spacing w:line="360" w:lineRule="auto"/>
        <w:ind w:firstLine="440" w:firstLineChars="200"/>
        <w:rPr>
          <w:rFonts w:asciiTheme="minorEastAsia" w:hAnsiTheme="minorEastAsia"/>
          <w:sz w:val="22"/>
        </w:rPr>
      </w:pPr>
      <w:r>
        <w:rPr>
          <w:rFonts w:hint="eastAsia" w:asciiTheme="minorEastAsia" w:hAnsiTheme="minorEastAsia"/>
          <w:sz w:val="22"/>
        </w:rPr>
        <w:t>2、主要材料技术标准和质量要求如下：</w:t>
      </w:r>
    </w:p>
    <w:p>
      <w:pPr>
        <w:spacing w:line="360" w:lineRule="auto"/>
        <w:ind w:firstLine="440" w:firstLineChars="200"/>
        <w:rPr>
          <w:rFonts w:asciiTheme="minorEastAsia" w:hAnsiTheme="minorEastAsia"/>
          <w:sz w:val="22"/>
        </w:rPr>
      </w:pPr>
      <w:r>
        <w:rPr>
          <w:rFonts w:hint="eastAsia" w:asciiTheme="minorEastAsia" w:hAnsiTheme="minor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numPr>
          <w:ilvl w:val="0"/>
          <w:numId w:val="2"/>
        </w:numPr>
        <w:spacing w:line="360" w:lineRule="auto"/>
        <w:ind w:firstLine="442" w:firstLineChars="200"/>
        <w:rPr>
          <w:rFonts w:hint="eastAsia" w:asciiTheme="minorEastAsia" w:hAnsiTheme="minorEastAsia"/>
          <w:b/>
          <w:sz w:val="22"/>
        </w:rPr>
      </w:pPr>
      <w:r>
        <w:rPr>
          <w:rFonts w:hint="eastAsia" w:asciiTheme="minorEastAsia" w:hAnsiTheme="minorEastAsia"/>
          <w:b/>
          <w:sz w:val="22"/>
        </w:rPr>
        <w:t>招标人自行采购的主要材料设备</w:t>
      </w:r>
    </w:p>
    <w:p>
      <w:pPr>
        <w:spacing w:line="360" w:lineRule="auto"/>
        <w:ind w:firstLine="440" w:firstLineChars="200"/>
        <w:rPr>
          <w:rFonts w:hint="default" w:asciiTheme="minorEastAsia" w:hAnsiTheme="minorEastAsia" w:eastAsiaTheme="minorEastAsia"/>
          <w:b w:val="0"/>
          <w:bCs/>
          <w:color w:val="00B0F0"/>
          <w:sz w:val="22"/>
          <w:lang w:val="en-US" w:eastAsia="zh-CN"/>
        </w:rPr>
      </w:pPr>
      <w:r>
        <w:rPr>
          <w:rFonts w:hint="eastAsia" w:asciiTheme="minorEastAsia" w:hAnsiTheme="minorEastAsia"/>
          <w:b w:val="0"/>
          <w:bCs/>
          <w:sz w:val="22"/>
          <w:lang w:val="en-US" w:eastAsia="zh-CN"/>
        </w:rPr>
        <w:t xml:space="preserve"> 详见招标清单</w:t>
      </w:r>
    </w:p>
    <w:p>
      <w:pPr>
        <w:spacing w:line="360" w:lineRule="auto"/>
        <w:ind w:firstLine="442" w:firstLineChars="200"/>
        <w:rPr>
          <w:rFonts w:asciiTheme="minorEastAsia" w:hAnsiTheme="minorEastAsia"/>
          <w:b/>
          <w:sz w:val="22"/>
        </w:rPr>
      </w:pPr>
      <w:r>
        <w:rPr>
          <w:rFonts w:hint="eastAsia" w:asciiTheme="minorEastAsia" w:hAnsiTheme="minorEastAsia"/>
          <w:b/>
          <w:sz w:val="22"/>
        </w:rPr>
        <w:t>七、其他说明</w:t>
      </w:r>
    </w:p>
    <w:p>
      <w:pPr>
        <w:spacing w:line="360" w:lineRule="auto"/>
        <w:ind w:firstLine="440" w:firstLineChars="200"/>
        <w:rPr>
          <w:rFonts w:asciiTheme="minorEastAsia" w:hAnsiTheme="minorEastAsia"/>
          <w:sz w:val="22"/>
        </w:rPr>
      </w:pPr>
      <w:r>
        <w:rPr>
          <w:rFonts w:hint="eastAsia" w:asciiTheme="minorEastAsia" w:hAnsiTheme="minorEastAsia"/>
          <w:sz w:val="22"/>
        </w:rPr>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pPr>
        <w:spacing w:line="360" w:lineRule="auto"/>
        <w:ind w:firstLine="440" w:firstLineChars="200"/>
        <w:rPr>
          <w:rFonts w:asciiTheme="minorEastAsia" w:hAnsiTheme="minorEastAsia"/>
          <w:sz w:val="22"/>
        </w:rPr>
      </w:pPr>
      <w:r>
        <w:rPr>
          <w:rFonts w:hint="eastAsia" w:asciiTheme="minorEastAsia" w:hAnsiTheme="minorEastAsia"/>
          <w:sz w:val="22"/>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pPr>
        <w:spacing w:line="360" w:lineRule="auto"/>
        <w:ind w:firstLine="440" w:firstLineChars="200"/>
        <w:rPr>
          <w:rFonts w:asciiTheme="minorEastAsia" w:hAnsiTheme="minorEastAsia"/>
          <w:sz w:val="22"/>
        </w:rPr>
      </w:pPr>
      <w:r>
        <w:rPr>
          <w:rFonts w:hint="eastAsia" w:asciiTheme="minorEastAsia" w:hAnsiTheme="minorEastAsia"/>
          <w:sz w:val="22"/>
        </w:rPr>
        <w:t>3、工程量清单报价应包括完成招标文件规定的工程量清单项目所需的全部费用，其内含：</w:t>
      </w:r>
    </w:p>
    <w:p>
      <w:pPr>
        <w:spacing w:line="360" w:lineRule="auto"/>
        <w:ind w:firstLine="440" w:firstLineChars="200"/>
        <w:rPr>
          <w:rFonts w:asciiTheme="minorEastAsia" w:hAnsiTheme="minorEastAsia"/>
          <w:sz w:val="22"/>
        </w:rPr>
      </w:pPr>
      <w:r>
        <w:rPr>
          <w:rFonts w:hint="eastAsia" w:asciiTheme="minorEastAsia" w:hAnsiTheme="minorEastAsia"/>
          <w:sz w:val="22"/>
        </w:rPr>
        <w:t>①包括分部分项工程费、措施费、其它项目费和规费、税金；</w:t>
      </w:r>
    </w:p>
    <w:p>
      <w:pPr>
        <w:spacing w:line="360" w:lineRule="auto"/>
        <w:ind w:firstLine="440" w:firstLineChars="200"/>
        <w:rPr>
          <w:rFonts w:asciiTheme="minorEastAsia" w:hAnsiTheme="minorEastAsia"/>
          <w:sz w:val="22"/>
        </w:rPr>
      </w:pPr>
      <w:r>
        <w:rPr>
          <w:rFonts w:hint="eastAsia" w:asciiTheme="minorEastAsia" w:hAnsiTheme="minorEastAsia"/>
          <w:sz w:val="22"/>
        </w:rPr>
        <w:t>②包括完成每分部分项工程所含全部工程内容的费用；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③包括完成每项工程内容所需的全部费用；</w:t>
      </w:r>
    </w:p>
    <w:p>
      <w:pPr>
        <w:spacing w:line="360" w:lineRule="auto"/>
        <w:ind w:firstLine="440" w:firstLineChars="200"/>
        <w:rPr>
          <w:rFonts w:asciiTheme="minorEastAsia" w:hAnsiTheme="minorEastAsia"/>
          <w:sz w:val="22"/>
        </w:rPr>
      </w:pPr>
      <w:r>
        <w:rPr>
          <w:rFonts w:hint="eastAsia" w:asciiTheme="minorEastAsia" w:hAnsiTheme="minorEastAsia"/>
          <w:sz w:val="22"/>
        </w:rPr>
        <w:t>④工程量清单项目中没有体现的，施工中又必须发生的工程内容所需的费用；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⑤考虑风险因素而调整的费用；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⑥因招标人在招标文件中的要求而发生的费用。</w:t>
      </w:r>
    </w:p>
    <w:p>
      <w:pPr>
        <w:spacing w:line="360" w:lineRule="auto"/>
        <w:ind w:firstLine="440" w:firstLineChars="200"/>
        <w:rPr>
          <w:rFonts w:asciiTheme="minorEastAsia" w:hAnsiTheme="minorEastAsia"/>
          <w:sz w:val="22"/>
        </w:rPr>
      </w:pPr>
      <w:r>
        <w:rPr>
          <w:rFonts w:hint="eastAsia" w:asciiTheme="minorEastAsia" w:hAnsiTheme="minorEastAsia"/>
          <w:sz w:val="22"/>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pPr>
        <w:spacing w:line="360" w:lineRule="auto"/>
        <w:ind w:firstLine="440" w:firstLineChars="200"/>
        <w:rPr>
          <w:rFonts w:asciiTheme="minorEastAsia" w:hAnsiTheme="minorEastAsia"/>
          <w:sz w:val="22"/>
        </w:rPr>
      </w:pPr>
      <w:r>
        <w:rPr>
          <w:rFonts w:hint="eastAsia" w:asciiTheme="minorEastAsia" w:hAnsiTheme="minorEastAsia"/>
          <w:sz w:val="22"/>
        </w:rPr>
        <w:t>5、若设计图纸、招标文件中相关条款及清单描述有冲突的，投标人应在“澄清答疑”环节中向招标人提出，招标人将在“澄清答疑”环节中答复；投标人未在“澄清答疑”环节提出的，则最终解释权归属于招标人。</w:t>
      </w:r>
    </w:p>
    <w:p>
      <w:pPr>
        <w:spacing w:line="360" w:lineRule="auto"/>
        <w:ind w:firstLine="440" w:firstLineChars="200"/>
        <w:rPr>
          <w:rFonts w:asciiTheme="minorEastAsia" w:hAnsiTheme="minorEastAsia"/>
          <w:sz w:val="22"/>
        </w:rPr>
      </w:pP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D47993"/>
    <w:multiLevelType w:val="singleLevel"/>
    <w:tmpl w:val="82D47993"/>
    <w:lvl w:ilvl="0" w:tentative="0">
      <w:start w:val="1"/>
      <w:numFmt w:val="decimal"/>
      <w:suff w:val="nothing"/>
      <w:lvlText w:val="%1、"/>
      <w:lvlJc w:val="left"/>
    </w:lvl>
  </w:abstractNum>
  <w:abstractNum w:abstractNumId="1">
    <w:nsid w:val="F0D336BE"/>
    <w:multiLevelType w:val="singleLevel"/>
    <w:tmpl w:val="F0D336BE"/>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hNDI2NzI5M2FmOTJhZDBhZjU5ZmE3MjI4Zjc1MTgifQ=="/>
  </w:docVars>
  <w:rsids>
    <w:rsidRoot w:val="00E80598"/>
    <w:rsid w:val="00003B10"/>
    <w:rsid w:val="00070CA5"/>
    <w:rsid w:val="000878B4"/>
    <w:rsid w:val="00094F0E"/>
    <w:rsid w:val="000C5F5E"/>
    <w:rsid w:val="00130701"/>
    <w:rsid w:val="001C7CD8"/>
    <w:rsid w:val="001D3A5E"/>
    <w:rsid w:val="00224361"/>
    <w:rsid w:val="002C71E1"/>
    <w:rsid w:val="003C551D"/>
    <w:rsid w:val="003D4DFA"/>
    <w:rsid w:val="0041308F"/>
    <w:rsid w:val="00457557"/>
    <w:rsid w:val="00462E4D"/>
    <w:rsid w:val="004A69EC"/>
    <w:rsid w:val="004C3E75"/>
    <w:rsid w:val="004E1038"/>
    <w:rsid w:val="005453BC"/>
    <w:rsid w:val="0055449D"/>
    <w:rsid w:val="00561F84"/>
    <w:rsid w:val="005733F8"/>
    <w:rsid w:val="00587E4B"/>
    <w:rsid w:val="005C7A6B"/>
    <w:rsid w:val="006035F5"/>
    <w:rsid w:val="006252DA"/>
    <w:rsid w:val="006A6281"/>
    <w:rsid w:val="006D6139"/>
    <w:rsid w:val="006E0A43"/>
    <w:rsid w:val="006F1DF0"/>
    <w:rsid w:val="006F4CE8"/>
    <w:rsid w:val="00701EA5"/>
    <w:rsid w:val="00716093"/>
    <w:rsid w:val="00770FE5"/>
    <w:rsid w:val="00777DEA"/>
    <w:rsid w:val="00784A79"/>
    <w:rsid w:val="00792C2E"/>
    <w:rsid w:val="007E7818"/>
    <w:rsid w:val="007F7C1D"/>
    <w:rsid w:val="00847CE5"/>
    <w:rsid w:val="00850ECA"/>
    <w:rsid w:val="00855A30"/>
    <w:rsid w:val="008964D1"/>
    <w:rsid w:val="009220B0"/>
    <w:rsid w:val="009C2E62"/>
    <w:rsid w:val="009F4AAF"/>
    <w:rsid w:val="009F7256"/>
    <w:rsid w:val="00A63FC9"/>
    <w:rsid w:val="00AB037F"/>
    <w:rsid w:val="00AC1EED"/>
    <w:rsid w:val="00B01EB6"/>
    <w:rsid w:val="00B07059"/>
    <w:rsid w:val="00B276BE"/>
    <w:rsid w:val="00B276F7"/>
    <w:rsid w:val="00B45773"/>
    <w:rsid w:val="00B46074"/>
    <w:rsid w:val="00BD0642"/>
    <w:rsid w:val="00BE3945"/>
    <w:rsid w:val="00BF706B"/>
    <w:rsid w:val="00C15EEB"/>
    <w:rsid w:val="00C24412"/>
    <w:rsid w:val="00C30855"/>
    <w:rsid w:val="00C34BCE"/>
    <w:rsid w:val="00C36851"/>
    <w:rsid w:val="00C9616D"/>
    <w:rsid w:val="00CA1596"/>
    <w:rsid w:val="00CB729C"/>
    <w:rsid w:val="00D53389"/>
    <w:rsid w:val="00D844D1"/>
    <w:rsid w:val="00E03455"/>
    <w:rsid w:val="00E80598"/>
    <w:rsid w:val="00E924B2"/>
    <w:rsid w:val="00ED2F94"/>
    <w:rsid w:val="00EE3AC7"/>
    <w:rsid w:val="00F00671"/>
    <w:rsid w:val="00F106A9"/>
    <w:rsid w:val="00F35A42"/>
    <w:rsid w:val="00F46D6E"/>
    <w:rsid w:val="00F637EC"/>
    <w:rsid w:val="00F86DE8"/>
    <w:rsid w:val="00F93670"/>
    <w:rsid w:val="00FD2FBA"/>
    <w:rsid w:val="00FF1967"/>
    <w:rsid w:val="012A4E2C"/>
    <w:rsid w:val="013D1785"/>
    <w:rsid w:val="01C0309B"/>
    <w:rsid w:val="02624217"/>
    <w:rsid w:val="027F2311"/>
    <w:rsid w:val="02881E0B"/>
    <w:rsid w:val="02A56AE2"/>
    <w:rsid w:val="02D54924"/>
    <w:rsid w:val="0348159A"/>
    <w:rsid w:val="03A34A22"/>
    <w:rsid w:val="04B25CBA"/>
    <w:rsid w:val="04F33787"/>
    <w:rsid w:val="054C48B1"/>
    <w:rsid w:val="06710E08"/>
    <w:rsid w:val="086329D2"/>
    <w:rsid w:val="09526CCE"/>
    <w:rsid w:val="0A426D43"/>
    <w:rsid w:val="0A71587A"/>
    <w:rsid w:val="0B2621C1"/>
    <w:rsid w:val="0B792C38"/>
    <w:rsid w:val="0E6A5B7B"/>
    <w:rsid w:val="0F784FB5"/>
    <w:rsid w:val="10345380"/>
    <w:rsid w:val="1092654A"/>
    <w:rsid w:val="10BC7123"/>
    <w:rsid w:val="10D26947"/>
    <w:rsid w:val="10E548CC"/>
    <w:rsid w:val="11164A85"/>
    <w:rsid w:val="121375B7"/>
    <w:rsid w:val="122F22A3"/>
    <w:rsid w:val="134578A4"/>
    <w:rsid w:val="138F0B1F"/>
    <w:rsid w:val="14AF76CB"/>
    <w:rsid w:val="14B20F69"/>
    <w:rsid w:val="14CF5677"/>
    <w:rsid w:val="15BF393E"/>
    <w:rsid w:val="18DF60A5"/>
    <w:rsid w:val="19EC0A79"/>
    <w:rsid w:val="1A0F6516"/>
    <w:rsid w:val="1A200723"/>
    <w:rsid w:val="1ACE4623"/>
    <w:rsid w:val="1B645240"/>
    <w:rsid w:val="1BF65BDF"/>
    <w:rsid w:val="1C6E7E6B"/>
    <w:rsid w:val="1DB5638F"/>
    <w:rsid w:val="1EFF7ACA"/>
    <w:rsid w:val="1F2B2044"/>
    <w:rsid w:val="1F505606"/>
    <w:rsid w:val="1FC6120C"/>
    <w:rsid w:val="21374CD0"/>
    <w:rsid w:val="214940F9"/>
    <w:rsid w:val="21B24356"/>
    <w:rsid w:val="228A7081"/>
    <w:rsid w:val="240B5FA0"/>
    <w:rsid w:val="241E3F25"/>
    <w:rsid w:val="26404627"/>
    <w:rsid w:val="271433BD"/>
    <w:rsid w:val="274C0DA9"/>
    <w:rsid w:val="284B72B3"/>
    <w:rsid w:val="295308A5"/>
    <w:rsid w:val="296E14AB"/>
    <w:rsid w:val="2A355B25"/>
    <w:rsid w:val="2A697EC4"/>
    <w:rsid w:val="2AD03A9F"/>
    <w:rsid w:val="2BD650E5"/>
    <w:rsid w:val="2C550700"/>
    <w:rsid w:val="2C730B86"/>
    <w:rsid w:val="2D1934DC"/>
    <w:rsid w:val="2D4D7629"/>
    <w:rsid w:val="2D964B2C"/>
    <w:rsid w:val="2DA21723"/>
    <w:rsid w:val="2E054C19"/>
    <w:rsid w:val="2FD951A4"/>
    <w:rsid w:val="30116A36"/>
    <w:rsid w:val="32222E32"/>
    <w:rsid w:val="32D63C1D"/>
    <w:rsid w:val="32D85BE7"/>
    <w:rsid w:val="33135076"/>
    <w:rsid w:val="357E0CC8"/>
    <w:rsid w:val="3632560E"/>
    <w:rsid w:val="363B2715"/>
    <w:rsid w:val="376932B2"/>
    <w:rsid w:val="381E5E4A"/>
    <w:rsid w:val="38D155B2"/>
    <w:rsid w:val="392751D2"/>
    <w:rsid w:val="39777F08"/>
    <w:rsid w:val="39EB4452"/>
    <w:rsid w:val="3ABE56C2"/>
    <w:rsid w:val="3B457B92"/>
    <w:rsid w:val="3B64626A"/>
    <w:rsid w:val="3C333E8E"/>
    <w:rsid w:val="3CA31014"/>
    <w:rsid w:val="3CB11E89"/>
    <w:rsid w:val="3E0A10FC"/>
    <w:rsid w:val="3EF45B57"/>
    <w:rsid w:val="40F2256A"/>
    <w:rsid w:val="412169AB"/>
    <w:rsid w:val="416D399E"/>
    <w:rsid w:val="43264BD3"/>
    <w:rsid w:val="434B4E71"/>
    <w:rsid w:val="43734798"/>
    <w:rsid w:val="44103433"/>
    <w:rsid w:val="44E65F41"/>
    <w:rsid w:val="46972CDB"/>
    <w:rsid w:val="47F22E4F"/>
    <w:rsid w:val="48276F9D"/>
    <w:rsid w:val="483E7B8F"/>
    <w:rsid w:val="490E5A67"/>
    <w:rsid w:val="4B8F7333"/>
    <w:rsid w:val="4C001FDF"/>
    <w:rsid w:val="4D0258E3"/>
    <w:rsid w:val="4D1A0E7E"/>
    <w:rsid w:val="4D2E62BB"/>
    <w:rsid w:val="4D9C7AE5"/>
    <w:rsid w:val="4DF01BDF"/>
    <w:rsid w:val="504B134F"/>
    <w:rsid w:val="50F13F07"/>
    <w:rsid w:val="510223CF"/>
    <w:rsid w:val="519805C3"/>
    <w:rsid w:val="52555976"/>
    <w:rsid w:val="54BF230B"/>
    <w:rsid w:val="55AA6B17"/>
    <w:rsid w:val="564B02FA"/>
    <w:rsid w:val="56772E9D"/>
    <w:rsid w:val="595669AF"/>
    <w:rsid w:val="5AFF16B3"/>
    <w:rsid w:val="5BD40D92"/>
    <w:rsid w:val="5C830206"/>
    <w:rsid w:val="5CC56AE0"/>
    <w:rsid w:val="5D027239"/>
    <w:rsid w:val="60D3673C"/>
    <w:rsid w:val="613227E3"/>
    <w:rsid w:val="617B2FAE"/>
    <w:rsid w:val="61B03707"/>
    <w:rsid w:val="68460921"/>
    <w:rsid w:val="68C31F72"/>
    <w:rsid w:val="6922313D"/>
    <w:rsid w:val="69CE6E20"/>
    <w:rsid w:val="6A3F387A"/>
    <w:rsid w:val="6A3F3956"/>
    <w:rsid w:val="6BFD1C3F"/>
    <w:rsid w:val="6D0B038C"/>
    <w:rsid w:val="6D7D4DE5"/>
    <w:rsid w:val="6E0F7A08"/>
    <w:rsid w:val="6E1F5E9D"/>
    <w:rsid w:val="6E445A0B"/>
    <w:rsid w:val="6F35349E"/>
    <w:rsid w:val="6F6D2C38"/>
    <w:rsid w:val="7041176A"/>
    <w:rsid w:val="70AE175A"/>
    <w:rsid w:val="70DE2FB1"/>
    <w:rsid w:val="717C3606"/>
    <w:rsid w:val="72367C59"/>
    <w:rsid w:val="73903399"/>
    <w:rsid w:val="74195922"/>
    <w:rsid w:val="768C6099"/>
    <w:rsid w:val="78063C29"/>
    <w:rsid w:val="79091C23"/>
    <w:rsid w:val="79233A04"/>
    <w:rsid w:val="7D937454"/>
    <w:rsid w:val="7DD249AC"/>
    <w:rsid w:val="7E7062A0"/>
    <w:rsid w:val="7EAD3051"/>
    <w:rsid w:val="7EE06F82"/>
    <w:rsid w:val="7FBA3C77"/>
    <w:rsid w:val="7FBC6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9"/>
    <w:autoRedefine/>
    <w:qFormat/>
    <w:uiPriority w:val="99"/>
    <w:pPr>
      <w:keepNext/>
      <w:keepLines/>
      <w:snapToGrid w:val="0"/>
      <w:spacing w:before="60" w:after="60"/>
      <w:ind w:right="-11"/>
      <w:jc w:val="center"/>
      <w:outlineLvl w:val="0"/>
    </w:pPr>
    <w:rPr>
      <w:rFonts w:ascii="Times New Roman" w:hAnsi="Times New Roman" w:eastAsia="宋体" w:cs="Times New Roman"/>
      <w:b/>
      <w:kern w:val="44"/>
      <w:sz w:val="36"/>
      <w:szCs w:val="36"/>
    </w:rPr>
  </w:style>
  <w:style w:type="paragraph" w:styleId="3">
    <w:name w:val="heading 2"/>
    <w:basedOn w:val="1"/>
    <w:next w:val="4"/>
    <w:link w:val="30"/>
    <w:autoRedefine/>
    <w:qFormat/>
    <w:uiPriority w:val="9"/>
    <w:pPr>
      <w:keepNext/>
      <w:keepLines/>
      <w:adjustRightInd w:val="0"/>
      <w:snapToGrid w:val="0"/>
      <w:spacing w:before="240" w:after="240"/>
      <w:ind w:right="-11"/>
      <w:jc w:val="center"/>
      <w:outlineLvl w:val="1"/>
    </w:pPr>
    <w:rPr>
      <w:rFonts w:ascii="Arial" w:hAnsi="Arial" w:eastAsia="宋体" w:cs="Times New Roman"/>
      <w:b/>
      <w:sz w:val="32"/>
      <w:szCs w:val="20"/>
    </w:rPr>
  </w:style>
  <w:style w:type="paragraph" w:styleId="5">
    <w:name w:val="heading 3"/>
    <w:basedOn w:val="1"/>
    <w:next w:val="4"/>
    <w:link w:val="31"/>
    <w:autoRedefine/>
    <w:qFormat/>
    <w:uiPriority w:val="9"/>
    <w:pPr>
      <w:keepNext/>
      <w:keepLines/>
      <w:adjustRightInd w:val="0"/>
      <w:snapToGrid w:val="0"/>
      <w:spacing w:before="240" w:after="240"/>
      <w:ind w:right="-11" w:firstLine="200" w:firstLineChars="200"/>
      <w:outlineLvl w:val="2"/>
    </w:pPr>
    <w:rPr>
      <w:rFonts w:ascii="宋体"/>
      <w:b/>
      <w:sz w:val="24"/>
    </w:rPr>
  </w:style>
  <w:style w:type="character" w:default="1" w:styleId="26">
    <w:name w:val="Default Paragraph Font"/>
    <w:autoRedefine/>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autoRedefine/>
    <w:semiHidden/>
    <w:unhideWhenUsed/>
    <w:qFormat/>
    <w:uiPriority w:val="99"/>
    <w:pPr>
      <w:ind w:right="-11" w:firstLine="420" w:firstLineChars="200"/>
    </w:pPr>
  </w:style>
  <w:style w:type="paragraph" w:styleId="6">
    <w:name w:val="toc 7"/>
    <w:basedOn w:val="1"/>
    <w:next w:val="1"/>
    <w:autoRedefine/>
    <w:unhideWhenUsed/>
    <w:qFormat/>
    <w:uiPriority w:val="39"/>
    <w:pPr>
      <w:ind w:left="2520" w:leftChars="1200"/>
    </w:pPr>
  </w:style>
  <w:style w:type="paragraph" w:styleId="7">
    <w:name w:val="annotation text"/>
    <w:basedOn w:val="1"/>
    <w:link w:val="47"/>
    <w:autoRedefine/>
    <w:qFormat/>
    <w:uiPriority w:val="0"/>
    <w:pPr>
      <w:jc w:val="left"/>
    </w:pPr>
    <w:rPr>
      <w:rFonts w:ascii="Times New Roman" w:hAnsi="Times New Roman" w:eastAsia="宋体" w:cs="Times New Roman"/>
      <w:szCs w:val="24"/>
    </w:rPr>
  </w:style>
  <w:style w:type="paragraph" w:styleId="8">
    <w:name w:val="Body Text 3"/>
    <w:basedOn w:val="1"/>
    <w:link w:val="39"/>
    <w:autoRedefine/>
    <w:qFormat/>
    <w:uiPriority w:val="0"/>
    <w:rPr>
      <w:rFonts w:ascii="宋体" w:eastAsia="宋体"/>
      <w:sz w:val="24"/>
    </w:rPr>
  </w:style>
  <w:style w:type="paragraph" w:styleId="9">
    <w:name w:val="Body Text"/>
    <w:basedOn w:val="1"/>
    <w:link w:val="43"/>
    <w:autoRedefine/>
    <w:qFormat/>
    <w:uiPriority w:val="0"/>
    <w:pPr>
      <w:spacing w:after="120" w:line="360" w:lineRule="auto"/>
    </w:pPr>
    <w:rPr>
      <w:rFonts w:ascii="Times New Roman" w:hAnsi="Times New Roman" w:eastAsia="宋体" w:cs="Times New Roman"/>
      <w:szCs w:val="20"/>
    </w:rPr>
  </w:style>
  <w:style w:type="paragraph" w:styleId="10">
    <w:name w:val="toc 5"/>
    <w:basedOn w:val="1"/>
    <w:next w:val="1"/>
    <w:autoRedefine/>
    <w:unhideWhenUsed/>
    <w:qFormat/>
    <w:uiPriority w:val="39"/>
    <w:pPr>
      <w:ind w:left="1680" w:leftChars="800"/>
    </w:pPr>
  </w:style>
  <w:style w:type="paragraph" w:styleId="11">
    <w:name w:val="toc 3"/>
    <w:basedOn w:val="1"/>
    <w:next w:val="1"/>
    <w:autoRedefine/>
    <w:unhideWhenUsed/>
    <w:qFormat/>
    <w:uiPriority w:val="39"/>
    <w:pPr>
      <w:ind w:left="840" w:leftChars="400" w:right="-11"/>
    </w:pPr>
  </w:style>
  <w:style w:type="paragraph" w:styleId="12">
    <w:name w:val="toc 8"/>
    <w:basedOn w:val="1"/>
    <w:next w:val="1"/>
    <w:autoRedefine/>
    <w:unhideWhenUsed/>
    <w:qFormat/>
    <w:uiPriority w:val="39"/>
    <w:pPr>
      <w:ind w:left="2940" w:leftChars="1400"/>
    </w:pPr>
  </w:style>
  <w:style w:type="paragraph" w:styleId="13">
    <w:name w:val="Balloon Text"/>
    <w:basedOn w:val="1"/>
    <w:link w:val="46"/>
    <w:autoRedefine/>
    <w:qFormat/>
    <w:uiPriority w:val="99"/>
    <w:rPr>
      <w:rFonts w:ascii="Times New Roman" w:hAnsi="Times New Roman" w:eastAsia="宋体" w:cs="Times New Roman"/>
      <w:sz w:val="18"/>
      <w:szCs w:val="18"/>
    </w:rPr>
  </w:style>
  <w:style w:type="paragraph" w:styleId="14">
    <w:name w:val="footer"/>
    <w:basedOn w:val="1"/>
    <w:link w:val="44"/>
    <w:autoRedefine/>
    <w:qFormat/>
    <w:uiPriority w:val="99"/>
    <w:pPr>
      <w:widowControl/>
      <w:tabs>
        <w:tab w:val="center" w:pos="4153"/>
        <w:tab w:val="right" w:pos="8306"/>
      </w:tabs>
      <w:snapToGrid w:val="0"/>
      <w:jc w:val="left"/>
    </w:pPr>
    <w:rPr>
      <w:rFonts w:ascii="Times New Roman" w:hAnsi="Times New Roman" w:eastAsia="宋体" w:cs="Times New Roman"/>
      <w:kern w:val="0"/>
      <w:sz w:val="18"/>
      <w:szCs w:val="18"/>
    </w:rPr>
  </w:style>
  <w:style w:type="paragraph" w:styleId="15">
    <w:name w:val="header"/>
    <w:basedOn w:val="1"/>
    <w:link w:val="45"/>
    <w:autoRedefine/>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6">
    <w:name w:val="toc 1"/>
    <w:basedOn w:val="1"/>
    <w:next w:val="1"/>
    <w:autoRedefine/>
    <w:qFormat/>
    <w:uiPriority w:val="39"/>
    <w:pPr>
      <w:tabs>
        <w:tab w:val="right" w:leader="dot" w:pos="9030"/>
      </w:tabs>
      <w:spacing w:line="560" w:lineRule="exact"/>
      <w:ind w:right="-11"/>
      <w:jc w:val="left"/>
    </w:pPr>
    <w:rPr>
      <w:rFonts w:ascii="宋体" w:hAnsi="宋体" w:eastAsia="宋体" w:cs="宋体"/>
      <w:b/>
      <w:bCs/>
      <w:sz w:val="30"/>
      <w:szCs w:val="30"/>
    </w:rPr>
  </w:style>
  <w:style w:type="paragraph" w:styleId="17">
    <w:name w:val="toc 4"/>
    <w:basedOn w:val="1"/>
    <w:next w:val="1"/>
    <w:autoRedefine/>
    <w:unhideWhenUsed/>
    <w:qFormat/>
    <w:uiPriority w:val="39"/>
    <w:pPr>
      <w:ind w:left="1260" w:leftChars="600"/>
    </w:pPr>
  </w:style>
  <w:style w:type="paragraph" w:styleId="18">
    <w:name w:val="toc 6"/>
    <w:basedOn w:val="1"/>
    <w:next w:val="1"/>
    <w:autoRedefine/>
    <w:unhideWhenUsed/>
    <w:qFormat/>
    <w:uiPriority w:val="39"/>
    <w:pPr>
      <w:ind w:left="2100" w:leftChars="1000"/>
    </w:pPr>
  </w:style>
  <w:style w:type="paragraph" w:styleId="19">
    <w:name w:val="toc 2"/>
    <w:basedOn w:val="1"/>
    <w:next w:val="1"/>
    <w:autoRedefine/>
    <w:unhideWhenUsed/>
    <w:qFormat/>
    <w:uiPriority w:val="39"/>
    <w:pPr>
      <w:ind w:left="420" w:leftChars="200" w:right="-11"/>
    </w:pPr>
  </w:style>
  <w:style w:type="paragraph" w:styleId="20">
    <w:name w:val="toc 9"/>
    <w:basedOn w:val="1"/>
    <w:next w:val="1"/>
    <w:autoRedefine/>
    <w:unhideWhenUsed/>
    <w:qFormat/>
    <w:uiPriority w:val="39"/>
    <w:pPr>
      <w:ind w:left="3360" w:leftChars="1600"/>
    </w:pPr>
  </w:style>
  <w:style w:type="paragraph" w:styleId="21">
    <w:name w:val="HTML Preformatted"/>
    <w:basedOn w:val="1"/>
    <w:link w:val="51"/>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eastAsia="宋体" w:cs="Times New Roman"/>
      <w:szCs w:val="24"/>
    </w:rPr>
  </w:style>
  <w:style w:type="paragraph" w:styleId="22">
    <w:name w:val="Title"/>
    <w:basedOn w:val="1"/>
    <w:next w:val="1"/>
    <w:link w:val="32"/>
    <w:autoRedefine/>
    <w:qFormat/>
    <w:uiPriority w:val="10"/>
    <w:pPr>
      <w:spacing w:before="240" w:after="60"/>
      <w:ind w:right="-11"/>
      <w:jc w:val="center"/>
      <w:outlineLvl w:val="0"/>
    </w:pPr>
    <w:rPr>
      <w:rFonts w:asciiTheme="majorHAnsi" w:hAnsiTheme="majorHAnsi" w:cstheme="majorBidi"/>
      <w:b/>
      <w:bCs/>
      <w:sz w:val="44"/>
      <w:szCs w:val="32"/>
    </w:rPr>
  </w:style>
  <w:style w:type="paragraph" w:styleId="23">
    <w:name w:val="annotation subject"/>
    <w:basedOn w:val="7"/>
    <w:next w:val="7"/>
    <w:link w:val="48"/>
    <w:autoRedefine/>
    <w:qFormat/>
    <w:uiPriority w:val="0"/>
    <w:rPr>
      <w:b/>
      <w:bCs/>
    </w:rPr>
  </w:style>
  <w:style w:type="table" w:styleId="25">
    <w:name w:val="Table Grid"/>
    <w:basedOn w:val="2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Hyperlink"/>
    <w:autoRedefine/>
    <w:unhideWhenUsed/>
    <w:qFormat/>
    <w:uiPriority w:val="99"/>
    <w:rPr>
      <w:color w:val="0000FF"/>
      <w:u w:val="single"/>
    </w:rPr>
  </w:style>
  <w:style w:type="character" w:styleId="28">
    <w:name w:val="annotation reference"/>
    <w:basedOn w:val="26"/>
    <w:autoRedefine/>
    <w:qFormat/>
    <w:uiPriority w:val="0"/>
    <w:rPr>
      <w:sz w:val="21"/>
      <w:szCs w:val="21"/>
    </w:rPr>
  </w:style>
  <w:style w:type="character" w:customStyle="1" w:styleId="29">
    <w:name w:val="标题 1 Char"/>
    <w:basedOn w:val="26"/>
    <w:link w:val="2"/>
    <w:autoRedefine/>
    <w:qFormat/>
    <w:uiPriority w:val="99"/>
    <w:rPr>
      <w:rFonts w:ascii="Times New Roman" w:hAnsi="Times New Roman" w:eastAsia="宋体" w:cs="Times New Roman"/>
      <w:b/>
      <w:kern w:val="44"/>
      <w:sz w:val="36"/>
      <w:szCs w:val="36"/>
    </w:rPr>
  </w:style>
  <w:style w:type="character" w:customStyle="1" w:styleId="30">
    <w:name w:val="标题 2 Char"/>
    <w:basedOn w:val="26"/>
    <w:link w:val="3"/>
    <w:autoRedefine/>
    <w:qFormat/>
    <w:uiPriority w:val="9"/>
    <w:rPr>
      <w:rFonts w:ascii="Arial" w:hAnsi="Arial" w:eastAsia="宋体" w:cs="Times New Roman"/>
      <w:b/>
      <w:sz w:val="32"/>
      <w:szCs w:val="20"/>
    </w:rPr>
  </w:style>
  <w:style w:type="character" w:customStyle="1" w:styleId="31">
    <w:name w:val="标题 3 Char"/>
    <w:basedOn w:val="26"/>
    <w:link w:val="5"/>
    <w:autoRedefine/>
    <w:qFormat/>
    <w:uiPriority w:val="9"/>
    <w:rPr>
      <w:rFonts w:ascii="宋体"/>
      <w:b/>
      <w:sz w:val="24"/>
    </w:rPr>
  </w:style>
  <w:style w:type="character" w:customStyle="1" w:styleId="32">
    <w:name w:val="标题 Char"/>
    <w:basedOn w:val="26"/>
    <w:link w:val="22"/>
    <w:autoRedefine/>
    <w:qFormat/>
    <w:uiPriority w:val="10"/>
    <w:rPr>
      <w:rFonts w:asciiTheme="majorHAnsi" w:hAnsiTheme="majorHAnsi" w:cstheme="majorBidi"/>
      <w:b/>
      <w:bCs/>
      <w:sz w:val="44"/>
      <w:szCs w:val="32"/>
    </w:rPr>
  </w:style>
  <w:style w:type="paragraph" w:styleId="33">
    <w:name w:val="No Spacing"/>
    <w:autoRedefine/>
    <w:qFormat/>
    <w:uiPriority w:val="1"/>
    <w:pPr>
      <w:widowControl w:val="0"/>
      <w:jc w:val="both"/>
    </w:pPr>
    <w:rPr>
      <w:rFonts w:ascii="Times New Roman" w:hAnsi="Times New Roman" w:eastAsia="宋体" w:cs="Times New Roman"/>
      <w:kern w:val="2"/>
      <w:sz w:val="21"/>
      <w:szCs w:val="20"/>
      <w:lang w:val="en-US" w:eastAsia="zh-CN" w:bidi="ar-SA"/>
    </w:rPr>
  </w:style>
  <w:style w:type="character" w:customStyle="1" w:styleId="34">
    <w:name w:val="标题 2 字符"/>
    <w:autoRedefine/>
    <w:qFormat/>
    <w:uiPriority w:val="9"/>
    <w:rPr>
      <w:rFonts w:ascii="新宋体" w:hAnsi="新宋体" w:eastAsia="新宋体"/>
      <w:b/>
      <w:bCs/>
      <w:kern w:val="2"/>
      <w:sz w:val="32"/>
      <w:szCs w:val="32"/>
      <w:lang w:val="zh-CN"/>
    </w:rPr>
  </w:style>
  <w:style w:type="paragraph" w:customStyle="1" w:styleId="35">
    <w:name w:val="样式 标题 3 + (中文) 黑体 小四 非加粗 段前: 7.8 磅 段后: 0 磅 行距: 固定值 20 磅"/>
    <w:basedOn w:val="5"/>
    <w:autoRedefine/>
    <w:qFormat/>
    <w:uiPriority w:val="0"/>
    <w:pPr>
      <w:adjustRightInd/>
      <w:snapToGrid/>
      <w:spacing w:before="0" w:after="0" w:line="400" w:lineRule="exact"/>
      <w:ind w:right="0" w:firstLine="0" w:firstLineChars="0"/>
    </w:pPr>
    <w:rPr>
      <w:rFonts w:ascii="Times New Roman" w:hAnsi="Times New Roman" w:eastAsia="黑体" w:cs="Times New Roman"/>
      <w:b w:val="0"/>
      <w:szCs w:val="20"/>
    </w:rPr>
  </w:style>
  <w:style w:type="character" w:customStyle="1" w:styleId="36">
    <w:name w:val="标题 字符"/>
    <w:autoRedefine/>
    <w:qFormat/>
    <w:uiPriority w:val="10"/>
    <w:rPr>
      <w:rFonts w:ascii="Cambria" w:hAnsi="Cambria" w:cs="Times New Roman"/>
      <w:b/>
      <w:bCs/>
      <w:kern w:val="2"/>
      <w:sz w:val="32"/>
      <w:szCs w:val="32"/>
    </w:rPr>
  </w:style>
  <w:style w:type="paragraph" w:styleId="37">
    <w:name w:val="List Paragraph"/>
    <w:basedOn w:val="1"/>
    <w:autoRedefine/>
    <w:qFormat/>
    <w:uiPriority w:val="0"/>
    <w:pPr>
      <w:ind w:firstLine="420" w:firstLineChars="200"/>
    </w:pPr>
    <w:rPr>
      <w:rFonts w:ascii="Calibri" w:hAnsi="Calibri" w:eastAsia="宋体" w:cs="Times New Roman"/>
    </w:rPr>
  </w:style>
  <w:style w:type="paragraph" w:customStyle="1" w:styleId="38">
    <w:name w:val="列出段落1"/>
    <w:basedOn w:val="1"/>
    <w:autoRedefine/>
    <w:qFormat/>
    <w:uiPriority w:val="0"/>
    <w:pPr>
      <w:ind w:firstLine="420" w:firstLineChars="200"/>
    </w:pPr>
    <w:rPr>
      <w:rFonts w:ascii="Calibri" w:hAnsi="Calibri" w:eastAsia="宋体" w:cs="Times New Roman"/>
      <w:szCs w:val="21"/>
    </w:rPr>
  </w:style>
  <w:style w:type="character" w:customStyle="1" w:styleId="39">
    <w:name w:val="正文文本 3 Char"/>
    <w:link w:val="8"/>
    <w:autoRedefine/>
    <w:qFormat/>
    <w:uiPriority w:val="0"/>
    <w:rPr>
      <w:rFonts w:ascii="宋体" w:eastAsia="宋体"/>
      <w:sz w:val="24"/>
    </w:rPr>
  </w:style>
  <w:style w:type="character" w:customStyle="1" w:styleId="40">
    <w:name w:val="正文文本 3 Char1"/>
    <w:basedOn w:val="26"/>
    <w:autoRedefine/>
    <w:semiHidden/>
    <w:qFormat/>
    <w:uiPriority w:val="99"/>
    <w:rPr>
      <w:sz w:val="16"/>
      <w:szCs w:val="16"/>
    </w:rPr>
  </w:style>
  <w:style w:type="paragraph" w:customStyle="1" w:styleId="41">
    <w:name w:val="样式 标题 2 + Times New Roman 四号 非加粗 段前: 5 磅 段后: 0 磅 行距: 固定值 20..."/>
    <w:basedOn w:val="3"/>
    <w:autoRedefine/>
    <w:qFormat/>
    <w:uiPriority w:val="0"/>
    <w:pPr>
      <w:adjustRightInd/>
      <w:snapToGrid/>
      <w:spacing w:before="100" w:after="0" w:line="400" w:lineRule="exact"/>
      <w:ind w:right="0"/>
      <w:jc w:val="both"/>
    </w:pPr>
    <w:rPr>
      <w:rFonts w:ascii="Times New Roman" w:hAnsi="Times New Roman" w:eastAsia="黑体"/>
      <w:b w:val="0"/>
      <w:sz w:val="28"/>
    </w:rPr>
  </w:style>
  <w:style w:type="paragraph" w:customStyle="1" w:styleId="42">
    <w:name w:val="正文 + 行距: 固定值 20 磅"/>
    <w:basedOn w:val="1"/>
    <w:autoRedefine/>
    <w:qFormat/>
    <w:uiPriority w:val="0"/>
    <w:pPr>
      <w:spacing w:line="400" w:lineRule="exact"/>
      <w:ind w:firstLine="716" w:firstLineChars="341"/>
    </w:pPr>
    <w:rPr>
      <w:rFonts w:ascii="Times New Roman" w:hAnsi="Times New Roman" w:eastAsia="宋体" w:cs="Times New Roman"/>
      <w:szCs w:val="20"/>
    </w:rPr>
  </w:style>
  <w:style w:type="character" w:customStyle="1" w:styleId="43">
    <w:name w:val="正文文本 Char"/>
    <w:basedOn w:val="26"/>
    <w:link w:val="9"/>
    <w:autoRedefine/>
    <w:qFormat/>
    <w:uiPriority w:val="0"/>
    <w:rPr>
      <w:rFonts w:ascii="Times New Roman" w:hAnsi="Times New Roman" w:eastAsia="宋体" w:cs="Times New Roman"/>
      <w:szCs w:val="20"/>
    </w:rPr>
  </w:style>
  <w:style w:type="character" w:customStyle="1" w:styleId="44">
    <w:name w:val="页脚 Char"/>
    <w:basedOn w:val="26"/>
    <w:link w:val="14"/>
    <w:autoRedefine/>
    <w:qFormat/>
    <w:uiPriority w:val="99"/>
    <w:rPr>
      <w:rFonts w:ascii="Times New Roman" w:hAnsi="Times New Roman" w:eastAsia="宋体" w:cs="Times New Roman"/>
      <w:kern w:val="0"/>
      <w:sz w:val="18"/>
      <w:szCs w:val="18"/>
    </w:rPr>
  </w:style>
  <w:style w:type="character" w:customStyle="1" w:styleId="45">
    <w:name w:val="页眉 Char"/>
    <w:basedOn w:val="26"/>
    <w:link w:val="15"/>
    <w:autoRedefine/>
    <w:qFormat/>
    <w:uiPriority w:val="99"/>
    <w:rPr>
      <w:rFonts w:ascii="Times New Roman" w:hAnsi="Times New Roman" w:eastAsia="宋体" w:cs="Times New Roman"/>
      <w:sz w:val="18"/>
      <w:szCs w:val="18"/>
    </w:rPr>
  </w:style>
  <w:style w:type="character" w:customStyle="1" w:styleId="46">
    <w:name w:val="批注框文本 Char"/>
    <w:basedOn w:val="26"/>
    <w:link w:val="13"/>
    <w:autoRedefine/>
    <w:qFormat/>
    <w:uiPriority w:val="99"/>
    <w:rPr>
      <w:rFonts w:ascii="Times New Roman" w:hAnsi="Times New Roman" w:eastAsia="宋体" w:cs="Times New Roman"/>
      <w:sz w:val="18"/>
      <w:szCs w:val="18"/>
    </w:rPr>
  </w:style>
  <w:style w:type="character" w:customStyle="1" w:styleId="47">
    <w:name w:val="批注文字 Char"/>
    <w:basedOn w:val="26"/>
    <w:link w:val="7"/>
    <w:autoRedefine/>
    <w:qFormat/>
    <w:uiPriority w:val="0"/>
    <w:rPr>
      <w:rFonts w:ascii="Times New Roman" w:hAnsi="Times New Roman" w:eastAsia="宋体" w:cs="Times New Roman"/>
      <w:szCs w:val="24"/>
    </w:rPr>
  </w:style>
  <w:style w:type="character" w:customStyle="1" w:styleId="48">
    <w:name w:val="批注主题 Char"/>
    <w:basedOn w:val="47"/>
    <w:link w:val="23"/>
    <w:autoRedefine/>
    <w:qFormat/>
    <w:uiPriority w:val="0"/>
    <w:rPr>
      <w:rFonts w:ascii="Times New Roman" w:hAnsi="Times New Roman" w:eastAsia="宋体" w:cs="Times New Roman"/>
      <w:b/>
      <w:bCs/>
      <w:szCs w:val="24"/>
    </w:rPr>
  </w:style>
  <w:style w:type="paragraph" w:customStyle="1" w:styleId="49">
    <w:name w:val="Revision"/>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50">
    <w:name w:val="修订1"/>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51">
    <w:name w:val="HTML 预设格式 Char"/>
    <w:basedOn w:val="26"/>
    <w:link w:val="21"/>
    <w:autoRedefine/>
    <w:qFormat/>
    <w:uiPriority w:val="99"/>
    <w:rPr>
      <w:rFonts w:ascii="Arial" w:hAnsi="Arial" w:eastAsia="宋体" w:cs="Times New Roman"/>
      <w:szCs w:val="24"/>
    </w:rPr>
  </w:style>
  <w:style w:type="paragraph" w:customStyle="1" w:styleId="52">
    <w:name w:val="xl65"/>
    <w:basedOn w:val="1"/>
    <w:autoRedefine/>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53">
    <w:name w:val="msonormal"/>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4">
    <w:name w:val="xl6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55">
    <w:name w:val="xl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eastAsia="宋体" w:cs="宋体"/>
      <w:kern w:val="0"/>
      <w:sz w:val="20"/>
      <w:szCs w:val="20"/>
    </w:rPr>
  </w:style>
  <w:style w:type="paragraph" w:customStyle="1" w:styleId="56">
    <w:name w:val="xl7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57">
    <w:name w:val="xl6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58">
    <w:name w:val="font5"/>
    <w:basedOn w:val="1"/>
    <w:autoRedefine/>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9">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0">
    <w:name w:val="xl6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1">
    <w:name w:val="p15"/>
    <w:basedOn w:val="1"/>
    <w:autoRedefine/>
    <w:qFormat/>
    <w:uiPriority w:val="0"/>
    <w:pPr>
      <w:widowControl/>
      <w:ind w:firstLine="420"/>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8863</Words>
  <Characters>9403</Characters>
  <Lines>19</Lines>
  <Paragraphs>5</Paragraphs>
  <TotalTime>0</TotalTime>
  <ScaleCrop>false</ScaleCrop>
  <LinksUpToDate>false</LinksUpToDate>
  <CharactersWithSpaces>9436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2023-06-05T05:18:00Z</dcterms:created>
  <dc:creator>lujinzhi</dc:creator>
  <cp:lastModifiedBy>          温衡°</cp:lastModifiedBy>
  <dcterms:modified xsi:type="dcterms:W3CDTF">2024-05-08T02:01:03Z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390E3326FA064546AC66EDF2B0B4C4E2_12</vt:lpwstr>
  </property>
</Properties>
</file>