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rFonts w:asciiTheme="minorEastAsia" w:hAnsiTheme="minorEastAsia"/>
          <w:color w:val="FF0000"/>
          <w:sz w:val="22"/>
          <w:highlight w:val="none"/>
        </w:rPr>
      </w:pPr>
      <w:r>
        <w:rPr>
          <w:rFonts w:hint="eastAsia"/>
          <w:color w:val="FF0000"/>
          <w:sz w:val="22"/>
          <w:highlight w:val="none"/>
        </w:rPr>
        <w:t>本项目为</w:t>
      </w:r>
      <w:r>
        <w:rPr>
          <w:rFonts w:hint="eastAsia"/>
          <w:color w:val="FF0000"/>
          <w:sz w:val="22"/>
          <w:highlight w:val="none"/>
          <w:lang w:eastAsia="zh-CN"/>
        </w:rPr>
        <w:t>南京大学鼓楼校区景观、校门及其他设施工程，</w:t>
      </w:r>
      <w:r>
        <w:rPr>
          <w:rFonts w:hint="eastAsia" w:asciiTheme="minorEastAsia" w:hAnsiTheme="minorEastAsia"/>
          <w:color w:val="FF0000"/>
          <w:sz w:val="22"/>
          <w:highlight w:val="none"/>
          <w:lang w:val="en-US" w:eastAsia="zh-CN"/>
        </w:rPr>
        <w:t>位于北京西路门，校内栏杆使用多年，栏杆老旧，本次内容为栏杆拆除新做</w:t>
      </w:r>
      <w:r>
        <w:rPr>
          <w:rFonts w:hint="eastAsia" w:asciiTheme="minorEastAsia" w:hAnsiTheme="minorEastAsia"/>
          <w:color w:val="FF0000"/>
          <w:sz w:val="22"/>
          <w:highlight w:val="none"/>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rPr>
          <w:rFonts w:asciiTheme="minorEastAsia" w:hAnsiTheme="minorEastAsia"/>
          <w:b/>
          <w:i/>
          <w:color w:val="FF0000"/>
          <w:sz w:val="22"/>
          <w:highlight w:val="none"/>
          <w:u w:val="single"/>
        </w:rPr>
      </w:pPr>
      <w:r>
        <w:rPr>
          <w:rFonts w:hint="eastAsia" w:asciiTheme="minorEastAsia" w:hAnsiTheme="minorEastAsia"/>
          <w:color w:val="FF0000"/>
          <w:sz w:val="22"/>
          <w:highlight w:val="none"/>
        </w:rPr>
        <w:t>本次改造内容主要包括</w:t>
      </w:r>
      <w:r>
        <w:rPr>
          <w:rFonts w:hint="eastAsia" w:asciiTheme="minorEastAsia" w:hAnsiTheme="minorEastAsia"/>
          <w:color w:val="FF0000"/>
          <w:sz w:val="22"/>
          <w:highlight w:val="none"/>
          <w:lang w:val="en-US" w:eastAsia="zh-CN"/>
        </w:rPr>
        <w:t>栏杆拆除新作、路面恢复、平移门</w:t>
      </w:r>
      <w:r>
        <w:rPr>
          <w:rFonts w:hint="eastAsia" w:asciiTheme="minorEastAsia" w:hAnsiTheme="minorEastAsia"/>
          <w:color w:val="FF0000"/>
          <w:sz w:val="22"/>
          <w:highlight w:val="none"/>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asciiTheme="minorEastAsia" w:hAnsiTheme="minorEastAsia"/>
          <w:color w:val="FF0000"/>
          <w:sz w:val="22"/>
        </w:rPr>
      </w:pPr>
      <w:r>
        <w:rPr>
          <w:rFonts w:hint="eastAsia" w:asciiTheme="minorEastAsia" w:hAnsiTheme="minorEastAsia"/>
          <w:sz w:val="22"/>
        </w:rPr>
        <w:t>1、</w:t>
      </w:r>
      <w:r>
        <w:rPr>
          <w:rFonts w:hint="eastAsia" w:asciiTheme="minorEastAsia" w:hAnsiTheme="minorEastAsia"/>
          <w:color w:val="FF0000"/>
          <w:sz w:val="22"/>
        </w:rPr>
        <w:t>南京大学建筑规划设计研究院有限公司设计的</w:t>
      </w:r>
      <w:r>
        <w:rPr>
          <w:rFonts w:hint="eastAsia" w:asciiTheme="minorEastAsia" w:hAnsiTheme="minorEastAsia"/>
          <w:color w:val="FF0000"/>
          <w:sz w:val="22"/>
          <w:lang w:val="en-US" w:eastAsia="zh-CN"/>
        </w:rPr>
        <w:t>2024</w:t>
      </w:r>
      <w:r>
        <w:rPr>
          <w:rFonts w:hint="eastAsia"/>
          <w:color w:val="FF0000"/>
          <w:sz w:val="22"/>
        </w:rPr>
        <w:t>年</w:t>
      </w:r>
      <w:r>
        <w:rPr>
          <w:rFonts w:hint="eastAsia"/>
          <w:color w:val="FF0000"/>
          <w:sz w:val="22"/>
          <w:lang w:val="en-US" w:eastAsia="zh-CN"/>
        </w:rPr>
        <w:t>05</w:t>
      </w:r>
      <w:r>
        <w:rPr>
          <w:rFonts w:hint="eastAsia"/>
          <w:color w:val="FF0000"/>
          <w:sz w:val="22"/>
        </w:rPr>
        <w:t>月</w:t>
      </w:r>
      <w:r>
        <w:rPr>
          <w:rFonts w:hint="eastAsia"/>
          <w:color w:val="FF0000"/>
          <w:sz w:val="22"/>
          <w:lang w:val="en-US" w:eastAsia="zh-CN"/>
        </w:rPr>
        <w:t>25</w:t>
      </w:r>
      <w:r>
        <w:rPr>
          <w:rFonts w:hint="eastAsia"/>
          <w:color w:val="FF0000"/>
          <w:sz w:val="22"/>
        </w:rPr>
        <w:t>日</w:t>
      </w:r>
      <w:r>
        <w:rPr>
          <w:rFonts w:hint="eastAsia" w:asciiTheme="minorEastAsia" w:hAnsiTheme="minorEastAsia"/>
          <w:sz w:val="22"/>
        </w:rPr>
        <w:t>施工图及其说明、设计修改、变更通知等技术资料。</w:t>
      </w:r>
    </w:p>
    <w:p>
      <w:pPr>
        <w:spacing w:line="360" w:lineRule="auto"/>
        <w:ind w:firstLine="440" w:firstLineChars="200"/>
        <w:rPr>
          <w:rFonts w:asciiTheme="minorEastAsia" w:hAnsiTheme="minorEastAsia"/>
          <w:b/>
          <w:color w:val="FF0000"/>
          <w:sz w:val="22"/>
        </w:rPr>
      </w:pPr>
      <w:r>
        <w:rPr>
          <w:rFonts w:hint="eastAsia" w:asciiTheme="minorEastAsia" w:hAnsiTheme="minorEastAsia"/>
          <w:sz w:val="22"/>
          <w:lang w:val="en-US" w:eastAsia="zh-CN"/>
        </w:rPr>
        <w:t>2</w:t>
      </w:r>
      <w:r>
        <w:rPr>
          <w:rFonts w:hint="eastAsia" w:asciiTheme="minorEastAsia" w:hAnsiTheme="minorEastAsia"/>
          <w:sz w:val="22"/>
        </w:rPr>
        <w:t>、计量规范：</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①《建设工程工程量清单计价规范》（GB50500-2013）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②《房屋建筑与装饰工程工程量计算规范》（GB50854-2013）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③《</w:t>
      </w:r>
      <w:r>
        <w:rPr>
          <w:rFonts w:hint="eastAsia" w:asciiTheme="minorEastAsia" w:hAnsiTheme="minorEastAsia"/>
          <w:color w:val="00B0F0"/>
          <w:sz w:val="22"/>
          <w:lang w:eastAsia="zh-CN"/>
        </w:rPr>
        <w:t>市政工程</w:t>
      </w:r>
      <w:r>
        <w:rPr>
          <w:rFonts w:hint="eastAsia" w:asciiTheme="minorEastAsia" w:hAnsiTheme="minorEastAsia"/>
          <w:color w:val="00B0F0"/>
          <w:sz w:val="22"/>
        </w:rPr>
        <w:t>工程量计算规范》（GB50</w:t>
      </w:r>
      <w:r>
        <w:rPr>
          <w:rFonts w:hint="eastAsia" w:asciiTheme="minorEastAsia" w:hAnsiTheme="minorEastAsia"/>
          <w:color w:val="00B0F0"/>
          <w:sz w:val="22"/>
          <w:lang w:val="en-US" w:eastAsia="zh-CN"/>
        </w:rPr>
        <w:t>857</w:t>
      </w:r>
      <w:r>
        <w:rPr>
          <w:rFonts w:hint="eastAsia" w:asciiTheme="minorEastAsia" w:hAnsiTheme="minorEastAsia"/>
          <w:color w:val="00B0F0"/>
          <w:sz w:val="22"/>
        </w:rPr>
        <w:t>-2013）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④现行相关补充或调整文件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3、安全文明施工措施费计取基本费和扬尘污染防治增加费。</w:t>
      </w:r>
    </w:p>
    <w:p>
      <w:pPr>
        <w:spacing w:line="360" w:lineRule="auto"/>
        <w:ind w:firstLine="440" w:firstLineChars="200"/>
        <w:rPr>
          <w:rFonts w:asciiTheme="minorEastAsia" w:hAnsiTheme="minorEastAsia"/>
          <w:color w:val="00B0F0"/>
          <w:sz w:val="22"/>
          <w:highlight w:val="none"/>
        </w:rPr>
      </w:pPr>
      <w:r>
        <w:rPr>
          <w:rFonts w:hint="eastAsia" w:asciiTheme="minorEastAsia" w:hAnsiTheme="minorEastAsia"/>
          <w:color w:val="00B0F0"/>
          <w:sz w:val="22"/>
        </w:rPr>
        <w:t>4、</w:t>
      </w:r>
      <w:r>
        <w:rPr>
          <w:rFonts w:hint="eastAsia" w:asciiTheme="minorEastAsia" w:hAnsiTheme="minorEastAsia"/>
          <w:color w:val="00B0F0"/>
          <w:sz w:val="22"/>
          <w:highlight w:val="none"/>
        </w:rPr>
        <w:t>《省住房城乡建设厅关于建筑工人实名制费用计取方法的公告》〔2019〕第19号</w:t>
      </w:r>
    </w:p>
    <w:p>
      <w:pPr>
        <w:spacing w:line="360" w:lineRule="auto"/>
        <w:ind w:firstLine="440" w:firstLineChars="200"/>
        <w:rPr>
          <w:rFonts w:asciiTheme="minorEastAsia" w:hAnsiTheme="minorEastAsia"/>
          <w:color w:val="00B0F0"/>
          <w:sz w:val="22"/>
          <w:highlight w:val="none"/>
        </w:rPr>
      </w:pPr>
      <w:r>
        <w:rPr>
          <w:rFonts w:hint="eastAsia" w:asciiTheme="minorEastAsia" w:hAnsiTheme="minorEastAsia"/>
          <w:color w:val="00B0F0"/>
          <w:sz w:val="22"/>
          <w:highlight w:val="none"/>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8、暂列金额及暂估价：</w:t>
      </w:r>
    </w:p>
    <w:p>
      <w:pPr>
        <w:spacing w:line="360" w:lineRule="auto"/>
        <w:ind w:firstLine="440" w:firstLineChars="200"/>
        <w:rPr>
          <w:rFonts w:hint="default" w:asciiTheme="minorEastAsia" w:hAnsiTheme="minorEastAsia"/>
          <w:color w:val="FF0000"/>
          <w:sz w:val="22"/>
          <w:lang w:val="en-US" w:eastAsia="zh-CN"/>
        </w:rPr>
      </w:pPr>
      <w:r>
        <w:rPr>
          <w:rFonts w:hint="eastAsia" w:asciiTheme="minorEastAsia" w:hAnsiTheme="minorEastAsia"/>
          <w:color w:val="00B0F0"/>
          <w:sz w:val="22"/>
        </w:rPr>
        <w:t>（1）暂列金额：</w:t>
      </w:r>
      <w:r>
        <w:rPr>
          <w:rFonts w:hint="eastAsia" w:asciiTheme="minorEastAsia" w:hAnsiTheme="minorEastAsia"/>
          <w:color w:val="FF0000"/>
          <w:sz w:val="22"/>
          <w:lang w:val="en-US" w:eastAsia="zh-CN"/>
        </w:rPr>
        <w:t>详见工程量清单</w:t>
      </w:r>
    </w:p>
    <w:p>
      <w:pPr>
        <w:spacing w:line="360" w:lineRule="auto"/>
        <w:ind w:firstLine="440" w:firstLineChars="200"/>
        <w:rPr>
          <w:rFonts w:hint="eastAsia" w:asciiTheme="minorEastAsia" w:hAnsiTheme="minorEastAsia" w:eastAsiaTheme="minorEastAsia"/>
          <w:color w:val="00B0F0"/>
          <w:sz w:val="22"/>
          <w:lang w:val="en-US" w:eastAsia="zh-CN"/>
        </w:rPr>
      </w:pPr>
      <w:r>
        <w:rPr>
          <w:rFonts w:hint="eastAsia" w:asciiTheme="minorEastAsia" w:hAnsiTheme="minorEastAsia"/>
          <w:color w:val="00B0F0"/>
          <w:sz w:val="22"/>
        </w:rPr>
        <w:t>（2）暂估价：</w:t>
      </w:r>
      <w:r>
        <w:rPr>
          <w:rFonts w:hint="eastAsia" w:asciiTheme="minorEastAsia" w:hAnsiTheme="minorEastAsia"/>
          <w:color w:val="FF0000"/>
          <w:sz w:val="22"/>
          <w:lang w:val="en-US" w:eastAsia="zh-CN"/>
        </w:rPr>
        <w:t>无</w:t>
      </w:r>
    </w:p>
    <w:p>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1、通用部分</w:t>
      </w:r>
    </w:p>
    <w:p>
      <w:pPr>
        <w:spacing w:line="360" w:lineRule="auto"/>
        <w:ind w:firstLine="440" w:firstLineChars="200"/>
        <w:rPr>
          <w:rFonts w:asciiTheme="minorEastAsia" w:hAnsiTheme="minorEastAsia"/>
          <w:color w:val="00B0F0"/>
          <w:sz w:val="22"/>
          <w:highlight w:val="none"/>
        </w:rPr>
      </w:pPr>
      <w:r>
        <w:rPr>
          <w:rFonts w:hint="eastAsia" w:asciiTheme="minorEastAsia" w:hAnsiTheme="minorEastAsia"/>
          <w:color w:val="00B0F0"/>
          <w:sz w:val="22"/>
          <w:highlight w:val="none"/>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2</w:t>
      </w:r>
      <w:r>
        <w:rPr>
          <w:rFonts w:hint="eastAsia"/>
          <w:color w:val="00B0F0"/>
          <w:sz w:val="22"/>
          <w:lang w:eastAsia="zh-CN"/>
        </w:rPr>
        <w:t>）</w:t>
      </w:r>
      <w:r>
        <w:rPr>
          <w:rFonts w:hint="eastAsia"/>
          <w:color w:val="00B0F0"/>
          <w:sz w:val="22"/>
        </w:rPr>
        <w:t>本工程所用砂浆皆为预拌砂浆，现场是否使用干拌或湿拌砂浆由投标人自行考虑，结算时不调整。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3</w:t>
      </w:r>
      <w:r>
        <w:rPr>
          <w:rFonts w:hint="eastAsia"/>
          <w:color w:val="00B0F0"/>
          <w:sz w:val="22"/>
          <w:lang w:eastAsia="zh-CN"/>
        </w:rPr>
        <w:t>）</w:t>
      </w:r>
      <w:r>
        <w:rPr>
          <w:rFonts w:hint="eastAsia"/>
          <w:color w:val="00B0F0"/>
          <w:sz w:val="22"/>
        </w:rPr>
        <w:t>大型机械进出场费用投标人综合考虑，结算时不再调整。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4</w:t>
      </w:r>
      <w:r>
        <w:rPr>
          <w:rFonts w:hint="eastAsia"/>
          <w:color w:val="00B0F0"/>
          <w:sz w:val="22"/>
          <w:lang w:eastAsia="zh-CN"/>
        </w:rPr>
        <w:t>）</w:t>
      </w:r>
      <w:r>
        <w:rPr>
          <w:rFonts w:hint="eastAsia"/>
          <w:color w:val="00B0F0"/>
          <w:sz w:val="22"/>
        </w:rPr>
        <w:t>投标人在投标报价时结合现场实际情况考虑夜间施工及围挡防护安全，结算时不再调整。</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5</w:t>
      </w:r>
      <w:r>
        <w:rPr>
          <w:rFonts w:hint="eastAsia"/>
          <w:color w:val="00B0F0"/>
          <w:sz w:val="22"/>
          <w:lang w:eastAsia="zh-CN"/>
        </w:rPr>
        <w:t>）</w:t>
      </w:r>
      <w:r>
        <w:rPr>
          <w:rFonts w:hint="eastAsia"/>
          <w:color w:val="00B0F0"/>
          <w:sz w:val="22"/>
          <w:lang w:val="zh-CN"/>
        </w:rPr>
        <w:t>措施费项目投标单位可自行增添内容，自行报价，未计放部分按优惠考虑，结算时不再调整，投标人在报价中应充分考虑所涉及的各项措施费及风险因素后再进行报价，</w:t>
      </w:r>
      <w:r>
        <w:rPr>
          <w:rFonts w:hint="eastAsia"/>
          <w:color w:val="00B0F0"/>
          <w:sz w:val="22"/>
        </w:rPr>
        <w:t>不可竞争费按规定报价。</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6</w:t>
      </w:r>
      <w:r>
        <w:rPr>
          <w:rFonts w:hint="eastAsia"/>
          <w:color w:val="00B0F0"/>
          <w:sz w:val="22"/>
          <w:lang w:eastAsia="zh-CN"/>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7</w:t>
      </w:r>
      <w:r>
        <w:rPr>
          <w:rFonts w:hint="eastAsia"/>
          <w:color w:val="00B0F0"/>
          <w:sz w:val="22"/>
          <w:lang w:eastAsia="zh-CN"/>
        </w:rPr>
        <w:t>）</w:t>
      </w:r>
      <w:r>
        <w:rPr>
          <w:rFonts w:hint="eastAsia"/>
          <w:color w:val="00B0F0"/>
          <w:sz w:val="22"/>
          <w:lang w:val="zh-CN"/>
        </w:rPr>
        <w:t>清单中项目特征描述不详处，以图纸为准，投标报价时应考虑图纸所示施工要求等一切费用。</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8</w:t>
      </w:r>
      <w:r>
        <w:rPr>
          <w:rFonts w:hint="eastAsia"/>
          <w:color w:val="00B0F0"/>
          <w:sz w:val="22"/>
          <w:lang w:eastAsia="zh-CN"/>
        </w:rPr>
        <w:t>）</w:t>
      </w:r>
      <w:r>
        <w:rPr>
          <w:rFonts w:hint="eastAsia"/>
          <w:color w:val="00B0F0"/>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9</w:t>
      </w:r>
      <w:r>
        <w:rPr>
          <w:rFonts w:hint="eastAsia"/>
          <w:color w:val="00B0F0"/>
          <w:sz w:val="22"/>
          <w:lang w:eastAsia="zh-CN"/>
        </w:rPr>
        <w:t>）</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10</w:t>
      </w:r>
      <w:r>
        <w:rPr>
          <w:rFonts w:hint="eastAsia"/>
          <w:color w:val="00B0F0"/>
          <w:sz w:val="22"/>
          <w:lang w:eastAsia="zh-CN"/>
        </w:rPr>
        <w:t>）</w:t>
      </w:r>
      <w:r>
        <w:rPr>
          <w:rFonts w:hint="eastAsia"/>
          <w:color w:val="00B0F0"/>
          <w:sz w:val="22"/>
        </w:rPr>
        <w:t>工程量清单中的总价措施项目费用除安全文明措施费用按规定费率调整外，其余措施项目费用由投标单位踏勘现场后，根据施工组织设计及有关现行施工要求自行考虑完整计入投标报价中。措施费应包括场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pPr>
        <w:spacing w:line="360" w:lineRule="auto"/>
        <w:ind w:firstLine="440" w:firstLineChars="200"/>
        <w:rPr>
          <w:rFonts w:hint="eastAsia"/>
          <w:color w:val="00B0F0"/>
          <w:sz w:val="22"/>
          <w:szCs w:val="22"/>
          <w:lang w:val="zh-CN" w:eastAsia="zh-CN"/>
        </w:rPr>
      </w:pPr>
      <w:r>
        <w:rPr>
          <w:rFonts w:hint="eastAsia"/>
          <w:color w:val="00B0F0"/>
          <w:sz w:val="22"/>
          <w:szCs w:val="22"/>
          <w:lang w:val="en-US" w:eastAsia="zh-CN"/>
        </w:rPr>
        <w:t>（11）</w:t>
      </w:r>
      <w:r>
        <w:rPr>
          <w:rFonts w:hint="eastAsia"/>
          <w:color w:val="00B0F0"/>
          <w:sz w:val="22"/>
          <w:szCs w:val="22"/>
          <w:lang w:val="zh-CN" w:eastAsia="zh-CN"/>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asciiTheme="minorEastAsia" w:hAnsiTheme="minorEastAsia"/>
          <w:color w:val="00B0F0"/>
          <w:sz w:val="22"/>
          <w:highlight w:val="yellow"/>
        </w:rPr>
      </w:pPr>
      <w:r>
        <w:rPr>
          <w:rFonts w:hint="eastAsia"/>
          <w:color w:val="00B0F0"/>
          <w:sz w:val="22"/>
          <w:szCs w:val="22"/>
          <w:lang w:val="en-US" w:eastAsia="zh-CN"/>
        </w:rPr>
        <w:t>（12）</w:t>
      </w:r>
      <w:r>
        <w:rPr>
          <w:rFonts w:hint="eastAsia"/>
          <w:color w:val="00B0F0"/>
          <w:sz w:val="22"/>
          <w:szCs w:val="22"/>
          <w:lang w:val="zh-CN" w:eastAsia="zh-CN"/>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eastAsia"/>
          <w:color w:val="00B0F0"/>
          <w:sz w:val="22"/>
          <w:lang w:val="en-US" w:eastAsia="zh-CN"/>
        </w:rPr>
      </w:pPr>
      <w:r>
        <w:rPr>
          <w:rFonts w:hint="eastAsia"/>
          <w:color w:val="00B0F0"/>
          <w:sz w:val="22"/>
        </w:rPr>
        <w:t>2、</w:t>
      </w:r>
      <w:r>
        <w:rPr>
          <w:rFonts w:hint="eastAsia"/>
          <w:color w:val="00B0F0"/>
          <w:sz w:val="22"/>
          <w:lang w:val="en-US" w:eastAsia="zh-CN"/>
        </w:rPr>
        <w:t>土建工程</w:t>
      </w:r>
    </w:p>
    <w:p>
      <w:pPr>
        <w:spacing w:line="360" w:lineRule="auto"/>
        <w:ind w:firstLine="440" w:firstLineChars="200"/>
        <w:rPr>
          <w:rFonts w:hint="default"/>
          <w:color w:val="00B0F0"/>
          <w:sz w:val="22"/>
          <w:szCs w:val="22"/>
          <w:lang w:val="en-US" w:eastAsia="zh-CN"/>
        </w:rPr>
      </w:pPr>
      <w:r>
        <w:rPr>
          <w:rFonts w:hint="eastAsia"/>
          <w:color w:val="00B0F0"/>
          <w:sz w:val="22"/>
          <w:szCs w:val="22"/>
          <w:lang w:val="en-US" w:eastAsia="zh-CN"/>
        </w:rPr>
        <w:t>（1）本工程为栏杆拆除新作、路面恢复、平移门新做。伸缩门、闸机不在本次范围内；</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（2）本次拆除栏杆暂按120米计算，结算时按实调整；</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（3）地面栏杆柱预埋，地面拆除尺寸暂按600mm×600mm考虑，拆除沥青层厚度按100mm考虑，混凝土层按220mm考虑，结算时根据实际拆除量按实结算；</w:t>
      </w:r>
    </w:p>
    <w:p>
      <w:pPr>
        <w:spacing w:line="360" w:lineRule="auto"/>
        <w:ind w:firstLine="663" w:firstLineChars="3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hint="eastAsia"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spacing w:line="360" w:lineRule="auto"/>
        <w:ind w:firstLine="440" w:firstLineChars="200"/>
        <w:rPr>
          <w:rFonts w:hint="eastAsia" w:asciiTheme="minorEastAsia" w:hAnsiTheme="minorEastAsia"/>
          <w:sz w:val="22"/>
        </w:rPr>
      </w:pPr>
    </w:p>
    <w:p>
      <w:pPr>
        <w:spacing w:line="360" w:lineRule="auto"/>
        <w:ind w:firstLine="440" w:firstLineChars="200"/>
        <w:rPr>
          <w:rFonts w:hint="eastAsia" w:asciiTheme="minorEastAsia" w:hAnsiTheme="minorEastAsia"/>
          <w:sz w:val="22"/>
        </w:rPr>
      </w:pPr>
    </w:p>
    <w:p>
      <w:pPr>
        <w:spacing w:line="360" w:lineRule="auto"/>
        <w:ind w:firstLine="440" w:firstLineChars="200"/>
        <w:rPr>
          <w:rFonts w:hint="eastAsia" w:asciiTheme="minorEastAsia" w:hAnsiTheme="minorEastAsia"/>
          <w:sz w:val="22"/>
        </w:rPr>
      </w:pPr>
    </w:p>
    <w:p>
      <w:pPr>
        <w:spacing w:line="360" w:lineRule="auto"/>
        <w:ind w:firstLine="440" w:firstLineChars="200"/>
        <w:rPr>
          <w:rFonts w:hint="eastAsia" w:asciiTheme="minorEastAsia" w:hAnsiTheme="minorEastAsia"/>
          <w:sz w:val="22"/>
        </w:rPr>
      </w:pPr>
    </w:p>
    <w:p>
      <w:pPr>
        <w:spacing w:line="360" w:lineRule="auto"/>
        <w:ind w:firstLine="440" w:firstLineChars="200"/>
        <w:rPr>
          <w:rFonts w:hint="eastAsia" w:asciiTheme="minorEastAsia" w:hAnsiTheme="minorEastAsia"/>
          <w:sz w:val="22"/>
        </w:rPr>
      </w:pPr>
    </w:p>
    <w:p>
      <w:pPr>
        <w:spacing w:line="360" w:lineRule="auto"/>
        <w:ind w:firstLine="440" w:firstLineChars="200"/>
        <w:rPr>
          <w:rFonts w:hint="eastAsia" w:asciiTheme="minorEastAsia" w:hAnsiTheme="minorEastAsia"/>
          <w:sz w:val="22"/>
        </w:rPr>
      </w:pPr>
    </w:p>
    <w:p>
      <w:pPr>
        <w:spacing w:line="360" w:lineRule="auto"/>
        <w:ind w:firstLine="440" w:firstLineChars="200"/>
        <w:rPr>
          <w:rFonts w:hint="eastAsia" w:asciiTheme="minorEastAsia" w:hAnsiTheme="minorEastAsia"/>
          <w:sz w:val="22"/>
        </w:rPr>
      </w:pPr>
    </w:p>
    <w:p>
      <w:pPr>
        <w:spacing w:line="360" w:lineRule="auto"/>
        <w:ind w:firstLine="440" w:firstLineChars="200"/>
        <w:rPr>
          <w:rFonts w:hint="eastAsia" w:asciiTheme="minorEastAsia" w:hAnsiTheme="minorEastAsia"/>
          <w:sz w:val="22"/>
        </w:rPr>
      </w:pPr>
    </w:p>
    <w:p>
      <w:pPr>
        <w:numPr>
          <w:ilvl w:val="0"/>
          <w:numId w:val="1"/>
        </w:numPr>
        <w:spacing w:line="360" w:lineRule="auto"/>
        <w:ind w:firstLine="440" w:firstLineChars="200"/>
        <w:rPr>
          <w:rFonts w:hint="default" w:asciiTheme="minorEastAsia" w:hAnsiTheme="minorEastAsia" w:eastAsiaTheme="minorEastAsia"/>
          <w:sz w:val="22"/>
          <w:lang w:val="en-US" w:eastAsia="zh-CN"/>
        </w:rPr>
      </w:pPr>
      <w:r>
        <w:rPr>
          <w:rFonts w:hint="eastAsia" w:asciiTheme="minorEastAsia" w:hAnsiTheme="minorEastAsia"/>
          <w:sz w:val="22"/>
        </w:rPr>
        <w:t>本项目主要材料品牌推荐表如下：</w:t>
      </w:r>
    </w:p>
    <w:tbl>
      <w:tblPr>
        <w:tblStyle w:val="8"/>
        <w:tblW w:w="48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836"/>
        <w:gridCol w:w="1924"/>
        <w:gridCol w:w="3622"/>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序号</w:t>
            </w:r>
          </w:p>
        </w:tc>
        <w:tc>
          <w:tcPr>
            <w:tcW w:w="1014"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材料设备名称</w:t>
            </w:r>
          </w:p>
        </w:tc>
        <w:tc>
          <w:tcPr>
            <w:tcW w:w="1063"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推荐品牌（系列）</w:t>
            </w:r>
          </w:p>
        </w:tc>
        <w:tc>
          <w:tcPr>
            <w:tcW w:w="2001"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制造商名称</w:t>
            </w:r>
          </w:p>
        </w:tc>
        <w:tc>
          <w:tcPr>
            <w:tcW w:w="542"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pPr>
              <w:spacing w:line="360" w:lineRule="auto"/>
              <w:jc w:val="both"/>
              <w:rPr>
                <w:rFonts w:hint="eastAsia" w:asciiTheme="minorEastAsia" w:hAnsiTheme="minorEastAsia" w:eastAsiaTheme="minorEastAsia" w:cstheme="minorEastAsia"/>
                <w:color w:val="FF0000"/>
                <w:sz w:val="22"/>
                <w:lang w:val="en-US" w:eastAsia="zh-CN"/>
              </w:rPr>
            </w:pPr>
            <w:r>
              <w:rPr>
                <w:rFonts w:hint="eastAsia" w:asciiTheme="minorEastAsia" w:hAnsiTheme="minorEastAsia" w:eastAsiaTheme="minorEastAsia" w:cstheme="minorEastAsia"/>
                <w:color w:val="FF0000"/>
                <w:sz w:val="22"/>
                <w:lang w:val="en-US" w:eastAsia="zh-CN"/>
              </w:rPr>
              <w:t>1</w:t>
            </w:r>
          </w:p>
        </w:tc>
        <w:tc>
          <w:tcPr>
            <w:tcW w:w="1014" w:type="pct"/>
            <w:vMerge w:val="restar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（热镀锌)钢管、焊接钢管、热浸锌钢管</w:t>
            </w:r>
          </w:p>
        </w:tc>
        <w:tc>
          <w:tcPr>
            <w:tcW w:w="1063" w:type="pct"/>
            <w:vAlign w:val="center"/>
          </w:tcPr>
          <w:p>
            <w:pPr>
              <w:spacing w:line="360" w:lineRule="auto"/>
              <w:jc w:val="center"/>
              <w:rPr>
                <w:rFonts w:hint="eastAsia" w:asciiTheme="minorEastAsia" w:hAnsiTheme="minorEastAsia" w:eastAsiaTheme="minorEastAsia"/>
                <w:color w:val="FF0000"/>
                <w:sz w:val="22"/>
                <w:lang w:val="en-US" w:eastAsia="zh-CN"/>
              </w:rPr>
            </w:pPr>
            <w:r>
              <w:rPr>
                <w:rFonts w:hint="eastAsia" w:asciiTheme="minorEastAsia" w:hAnsiTheme="minorEastAsia" w:eastAsiaTheme="minorEastAsia"/>
                <w:color w:val="FF0000"/>
                <w:sz w:val="22"/>
                <w:lang w:val="en-US" w:eastAsia="zh-CN"/>
              </w:rPr>
              <w:t>天虹</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邯郸正大制管集团股份有限公司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金洲</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浙江金洲管道科技股份有限公司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友发</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天津友发钢管集团股份有限公司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78" w:type="pct"/>
            <w:vMerge w:val="restart"/>
            <w:vAlign w:val="center"/>
          </w:tcPr>
          <w:p>
            <w:pPr>
              <w:spacing w:line="360" w:lineRule="auto"/>
              <w:jc w:val="both"/>
              <w:rPr>
                <w:rFonts w:hint="eastAsia" w:asciiTheme="minorEastAsia" w:hAnsiTheme="minorEastAsia" w:eastAsiaTheme="minorEastAsia" w:cstheme="minorEastAsia"/>
                <w:color w:val="FF0000"/>
                <w:sz w:val="22"/>
                <w:lang w:val="en-US" w:eastAsia="zh-CN"/>
              </w:rPr>
            </w:pPr>
            <w:r>
              <w:rPr>
                <w:rFonts w:hint="eastAsia" w:asciiTheme="minorEastAsia" w:hAnsiTheme="minorEastAsia" w:eastAsiaTheme="minorEastAsia" w:cstheme="minorEastAsia"/>
                <w:color w:val="FF0000"/>
                <w:sz w:val="22"/>
                <w:lang w:val="en-US" w:eastAsia="zh-CN"/>
              </w:rPr>
              <w:t>2</w:t>
            </w:r>
          </w:p>
        </w:tc>
        <w:tc>
          <w:tcPr>
            <w:tcW w:w="1014" w:type="pct"/>
            <w:vMerge w:val="restart"/>
            <w:vAlign w:val="center"/>
          </w:tcPr>
          <w:p>
            <w:pPr>
              <w:spacing w:line="360" w:lineRule="auto"/>
              <w:jc w:val="center"/>
              <w:rPr>
                <w:rFonts w:hint="eastAsia" w:asciiTheme="minorEastAsia" w:hAnsiTheme="minorEastAsia" w:eastAsiaTheme="minorEastAsia"/>
                <w:color w:val="FF0000"/>
                <w:sz w:val="22"/>
                <w:lang w:val="en-US" w:eastAsia="zh-CN"/>
              </w:rPr>
            </w:pPr>
            <w:r>
              <w:rPr>
                <w:rFonts w:hint="eastAsia" w:asciiTheme="minorEastAsia" w:hAnsiTheme="minorEastAsia" w:eastAsiaTheme="minorEastAsia"/>
                <w:color w:val="FF0000"/>
                <w:sz w:val="22"/>
                <w:lang w:val="en-US" w:eastAsia="zh-CN"/>
              </w:rPr>
              <w:t>不锈钢板</w:t>
            </w: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太钢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太原钢铁（集团）有限公司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ZPSS</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浦项（张家港）不锈钢股份有限公司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宝钢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上海宝钢股份有限公司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pPr>
              <w:spacing w:line="360" w:lineRule="auto"/>
              <w:jc w:val="both"/>
              <w:rPr>
                <w:rFonts w:hint="default" w:asciiTheme="minorEastAsia" w:hAnsiTheme="minorEastAsia" w:eastAsiaTheme="minorEastAsia" w:cstheme="minorEastAsia"/>
                <w:color w:val="FF0000"/>
                <w:sz w:val="22"/>
                <w:lang w:val="en-US" w:eastAsia="zh-CN"/>
              </w:rPr>
            </w:pPr>
            <w:r>
              <w:rPr>
                <w:rFonts w:hint="eastAsia" w:asciiTheme="minorEastAsia" w:hAnsiTheme="minorEastAsia" w:cstheme="minorEastAsia"/>
                <w:color w:val="FF0000"/>
                <w:sz w:val="22"/>
                <w:lang w:val="en-US" w:eastAsia="zh-CN"/>
              </w:rPr>
              <w:t>3</w:t>
            </w:r>
            <w:bookmarkStart w:id="0" w:name="_GoBack"/>
            <w:bookmarkEnd w:id="0"/>
          </w:p>
        </w:tc>
        <w:tc>
          <w:tcPr>
            <w:tcW w:w="1014" w:type="pct"/>
            <w:vMerge w:val="restart"/>
            <w:vAlign w:val="center"/>
          </w:tcPr>
          <w:p>
            <w:pPr>
              <w:spacing w:line="360" w:lineRule="auto"/>
              <w:jc w:val="center"/>
              <w:rPr>
                <w:rFonts w:hint="eastAsia" w:asciiTheme="minorEastAsia" w:hAnsiTheme="minorEastAsia" w:eastAsiaTheme="minorEastAsia"/>
                <w:color w:val="FF0000"/>
                <w:sz w:val="22"/>
                <w:lang w:eastAsia="zh-CN"/>
              </w:rPr>
            </w:pPr>
            <w:r>
              <w:rPr>
                <w:rFonts w:hint="eastAsia" w:asciiTheme="minorEastAsia" w:hAnsiTheme="minorEastAsia"/>
                <w:color w:val="FF0000"/>
                <w:sz w:val="22"/>
                <w:lang w:val="en-US" w:eastAsia="zh-CN"/>
              </w:rPr>
              <w:t>水泥</w:t>
            </w: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海螺</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安徽海螺水泥股份有限公司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鹤林</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江苏鹤林水泥有限公司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中联</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中国联合水泥集团有限公司</w:t>
            </w:r>
          </w:p>
        </w:tc>
        <w:tc>
          <w:tcPr>
            <w:tcW w:w="542" w:type="pct"/>
            <w:vAlign w:val="center"/>
          </w:tcPr>
          <w:p>
            <w:pPr>
              <w:spacing w:line="360" w:lineRule="auto"/>
              <w:jc w:val="center"/>
              <w:rPr>
                <w:rFonts w:asciiTheme="minorEastAsia" w:hAnsiTheme="minorEastAsia"/>
                <w:color w:val="FF0000"/>
                <w:sz w:val="22"/>
              </w:rPr>
            </w:pPr>
          </w:p>
        </w:tc>
      </w:tr>
    </w:tbl>
    <w:p>
      <w:pPr>
        <w:keepNext w:val="0"/>
        <w:keepLines w:val="0"/>
        <w:pageBreakBefore w:val="0"/>
        <w:widowControl w:val="0"/>
        <w:kinsoku/>
        <w:wordWrap/>
        <w:overflowPunct/>
        <w:topLinePunct w:val="0"/>
        <w:autoSpaceDE/>
        <w:autoSpaceDN/>
        <w:bidi w:val="0"/>
        <w:adjustRightInd/>
        <w:snapToGrid/>
        <w:jc w:val="both"/>
        <w:textAlignment w:val="auto"/>
      </w:pPr>
    </w:p>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hint="eastAsia" w:asciiTheme="minorEastAsia" w:hAnsiTheme="minorEastAsia"/>
          <w:b/>
          <w:sz w:val="22"/>
        </w:rPr>
      </w:pPr>
      <w:r>
        <w:rPr>
          <w:rFonts w:hint="eastAsia" w:asciiTheme="minorEastAsia" w:hAnsiTheme="minorEastAsia"/>
          <w:b/>
          <w:sz w:val="22"/>
        </w:rPr>
        <w:t>招标人自行采购的主要材料设备</w:t>
      </w:r>
    </w:p>
    <w:p>
      <w:pPr>
        <w:spacing w:line="360" w:lineRule="auto"/>
        <w:ind w:firstLine="440" w:firstLineChars="200"/>
        <w:rPr>
          <w:rFonts w:hint="default" w:asciiTheme="minorEastAsia" w:hAnsiTheme="minorEastAsia" w:eastAsiaTheme="minorEastAsia"/>
          <w:b w:val="0"/>
          <w:bCs/>
          <w:color w:val="00B0F0"/>
          <w:sz w:val="22"/>
          <w:lang w:val="en-US" w:eastAsia="zh-CN"/>
        </w:rPr>
      </w:pPr>
      <w:r>
        <w:rPr>
          <w:rFonts w:hint="eastAsia" w:asciiTheme="minorEastAsia" w:hAnsiTheme="minorEastAsia"/>
          <w:b w:val="0"/>
          <w:bCs/>
          <w:sz w:val="22"/>
          <w:lang w:val="en-US" w:eastAsia="zh-CN"/>
        </w:rPr>
        <w:t xml:space="preserve"> 详见招标清单</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47993"/>
    <w:multiLevelType w:val="singleLevel"/>
    <w:tmpl w:val="82D47993"/>
    <w:lvl w:ilvl="0" w:tentative="0">
      <w:start w:val="1"/>
      <w:numFmt w:val="decimal"/>
      <w:suff w:val="nothing"/>
      <w:lvlText w:val="%1、"/>
      <w:lvlJc w:val="left"/>
    </w:lvl>
  </w:abstractNum>
  <w:abstractNum w:abstractNumId="1">
    <w:nsid w:val="F0D336BE"/>
    <w:multiLevelType w:val="singleLevel"/>
    <w:tmpl w:val="F0D336B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2OTRlZGU3ZDhmOWZlYmE5ZTYzYmQxNDhiNmJiYTM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12DE3"/>
    <w:rsid w:val="00C2544E"/>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1C0753F"/>
    <w:rsid w:val="01DB6127"/>
    <w:rsid w:val="01F80A87"/>
    <w:rsid w:val="02DA1F3A"/>
    <w:rsid w:val="03321D76"/>
    <w:rsid w:val="03B92498"/>
    <w:rsid w:val="04275653"/>
    <w:rsid w:val="0430275A"/>
    <w:rsid w:val="046E6DDE"/>
    <w:rsid w:val="04F35535"/>
    <w:rsid w:val="05F872A7"/>
    <w:rsid w:val="062C51A3"/>
    <w:rsid w:val="06F832D7"/>
    <w:rsid w:val="06FD269B"/>
    <w:rsid w:val="07372051"/>
    <w:rsid w:val="07DD49A7"/>
    <w:rsid w:val="086A5B0F"/>
    <w:rsid w:val="086C2D17"/>
    <w:rsid w:val="089D5EE4"/>
    <w:rsid w:val="0ABD7F76"/>
    <w:rsid w:val="0AF15AA3"/>
    <w:rsid w:val="0B0E30C9"/>
    <w:rsid w:val="0B291CB1"/>
    <w:rsid w:val="0BA650B0"/>
    <w:rsid w:val="0BC1638D"/>
    <w:rsid w:val="0C2D3A23"/>
    <w:rsid w:val="0C9F66CF"/>
    <w:rsid w:val="0DB241E0"/>
    <w:rsid w:val="0DF162E9"/>
    <w:rsid w:val="0E8A515C"/>
    <w:rsid w:val="0EB65F51"/>
    <w:rsid w:val="0ECC7060"/>
    <w:rsid w:val="0F07055B"/>
    <w:rsid w:val="0F3B1FB3"/>
    <w:rsid w:val="0F5C08A7"/>
    <w:rsid w:val="0F625791"/>
    <w:rsid w:val="0FD22917"/>
    <w:rsid w:val="1003364F"/>
    <w:rsid w:val="10851BBB"/>
    <w:rsid w:val="11032FA4"/>
    <w:rsid w:val="11427629"/>
    <w:rsid w:val="11E42DD6"/>
    <w:rsid w:val="12EF1A32"/>
    <w:rsid w:val="12F17558"/>
    <w:rsid w:val="13960100"/>
    <w:rsid w:val="139A7BF0"/>
    <w:rsid w:val="13EE5846"/>
    <w:rsid w:val="14E1365F"/>
    <w:rsid w:val="152A4FA3"/>
    <w:rsid w:val="15E769F0"/>
    <w:rsid w:val="16157A01"/>
    <w:rsid w:val="16223ECC"/>
    <w:rsid w:val="16227A29"/>
    <w:rsid w:val="16421E79"/>
    <w:rsid w:val="1767603B"/>
    <w:rsid w:val="17E4768B"/>
    <w:rsid w:val="18115FA7"/>
    <w:rsid w:val="186F08B9"/>
    <w:rsid w:val="1912647A"/>
    <w:rsid w:val="19BF05FB"/>
    <w:rsid w:val="1A411645"/>
    <w:rsid w:val="1AB86BAD"/>
    <w:rsid w:val="1AE300CE"/>
    <w:rsid w:val="1B010554"/>
    <w:rsid w:val="1B28788F"/>
    <w:rsid w:val="1C744D56"/>
    <w:rsid w:val="1D266050"/>
    <w:rsid w:val="1D2668F4"/>
    <w:rsid w:val="1D5C4168"/>
    <w:rsid w:val="1DB47B00"/>
    <w:rsid w:val="1E731769"/>
    <w:rsid w:val="1EBF675C"/>
    <w:rsid w:val="1F010B23"/>
    <w:rsid w:val="1F332CA6"/>
    <w:rsid w:val="1FF66F78"/>
    <w:rsid w:val="21621621"/>
    <w:rsid w:val="21D249F9"/>
    <w:rsid w:val="21F42BC1"/>
    <w:rsid w:val="24942439"/>
    <w:rsid w:val="24A00DDE"/>
    <w:rsid w:val="24FA2B76"/>
    <w:rsid w:val="25B12B77"/>
    <w:rsid w:val="25C94365"/>
    <w:rsid w:val="25E42F4C"/>
    <w:rsid w:val="26661BB3"/>
    <w:rsid w:val="267A3162"/>
    <w:rsid w:val="27286875"/>
    <w:rsid w:val="273A72C8"/>
    <w:rsid w:val="27433CA3"/>
    <w:rsid w:val="27B7060C"/>
    <w:rsid w:val="28137B19"/>
    <w:rsid w:val="283C0E1E"/>
    <w:rsid w:val="28915DF1"/>
    <w:rsid w:val="29362A8E"/>
    <w:rsid w:val="29387837"/>
    <w:rsid w:val="2984482A"/>
    <w:rsid w:val="29B175E9"/>
    <w:rsid w:val="29B42820"/>
    <w:rsid w:val="29C25353"/>
    <w:rsid w:val="29F319B0"/>
    <w:rsid w:val="2A181417"/>
    <w:rsid w:val="2A3F4BF5"/>
    <w:rsid w:val="2AA9206F"/>
    <w:rsid w:val="2ACB46DB"/>
    <w:rsid w:val="2B3A3283"/>
    <w:rsid w:val="2C752B50"/>
    <w:rsid w:val="2C892158"/>
    <w:rsid w:val="2CAB47C4"/>
    <w:rsid w:val="2CB87701"/>
    <w:rsid w:val="2D2500D2"/>
    <w:rsid w:val="2DA03BFD"/>
    <w:rsid w:val="2EC97183"/>
    <w:rsid w:val="302C5C1C"/>
    <w:rsid w:val="3062163D"/>
    <w:rsid w:val="30B31E99"/>
    <w:rsid w:val="30C916BD"/>
    <w:rsid w:val="31DE4CF4"/>
    <w:rsid w:val="31E63BA8"/>
    <w:rsid w:val="32454D73"/>
    <w:rsid w:val="32C97752"/>
    <w:rsid w:val="33AB32FB"/>
    <w:rsid w:val="33E273D1"/>
    <w:rsid w:val="340824FC"/>
    <w:rsid w:val="34360E17"/>
    <w:rsid w:val="34610064"/>
    <w:rsid w:val="34DB551B"/>
    <w:rsid w:val="35132F06"/>
    <w:rsid w:val="351F3659"/>
    <w:rsid w:val="35A3072E"/>
    <w:rsid w:val="35CF1523"/>
    <w:rsid w:val="35DE1766"/>
    <w:rsid w:val="361138EA"/>
    <w:rsid w:val="368340BC"/>
    <w:rsid w:val="369E0EF6"/>
    <w:rsid w:val="371D2AC7"/>
    <w:rsid w:val="37751C56"/>
    <w:rsid w:val="379245B6"/>
    <w:rsid w:val="380A4A95"/>
    <w:rsid w:val="3814321D"/>
    <w:rsid w:val="390633B0"/>
    <w:rsid w:val="39700927"/>
    <w:rsid w:val="39A14F85"/>
    <w:rsid w:val="3A1949C6"/>
    <w:rsid w:val="3A4678DA"/>
    <w:rsid w:val="3A7C154E"/>
    <w:rsid w:val="3AD564D4"/>
    <w:rsid w:val="3B2A0FAA"/>
    <w:rsid w:val="3B47390A"/>
    <w:rsid w:val="3B84690C"/>
    <w:rsid w:val="3BF55114"/>
    <w:rsid w:val="3C5D7F36"/>
    <w:rsid w:val="3CA31014"/>
    <w:rsid w:val="3D355D04"/>
    <w:rsid w:val="3DD671C7"/>
    <w:rsid w:val="3E8E6121"/>
    <w:rsid w:val="3EB47508"/>
    <w:rsid w:val="3F122150"/>
    <w:rsid w:val="3FFC1167"/>
    <w:rsid w:val="409133A9"/>
    <w:rsid w:val="41361DF3"/>
    <w:rsid w:val="41390199"/>
    <w:rsid w:val="41596145"/>
    <w:rsid w:val="41744D2D"/>
    <w:rsid w:val="417810A7"/>
    <w:rsid w:val="41D659E7"/>
    <w:rsid w:val="42772D26"/>
    <w:rsid w:val="427A45C5"/>
    <w:rsid w:val="42F9198D"/>
    <w:rsid w:val="434F77FF"/>
    <w:rsid w:val="438D657A"/>
    <w:rsid w:val="4436276D"/>
    <w:rsid w:val="44586B88"/>
    <w:rsid w:val="446B0669"/>
    <w:rsid w:val="447108A5"/>
    <w:rsid w:val="449F47B6"/>
    <w:rsid w:val="455E2276"/>
    <w:rsid w:val="45603F46"/>
    <w:rsid w:val="47EA5D49"/>
    <w:rsid w:val="48A04659"/>
    <w:rsid w:val="48FA645F"/>
    <w:rsid w:val="49184B37"/>
    <w:rsid w:val="49415E3C"/>
    <w:rsid w:val="49914A4E"/>
    <w:rsid w:val="4A4A0D21"/>
    <w:rsid w:val="4B427C4A"/>
    <w:rsid w:val="4C352D65"/>
    <w:rsid w:val="4C365A00"/>
    <w:rsid w:val="4D023B34"/>
    <w:rsid w:val="4D783DF7"/>
    <w:rsid w:val="4DAD39C0"/>
    <w:rsid w:val="4EA34EA3"/>
    <w:rsid w:val="4F7B372A"/>
    <w:rsid w:val="50BF1E8B"/>
    <w:rsid w:val="50E35A2B"/>
    <w:rsid w:val="510F4A72"/>
    <w:rsid w:val="51426BF5"/>
    <w:rsid w:val="5160707C"/>
    <w:rsid w:val="517B5C63"/>
    <w:rsid w:val="51A451BA"/>
    <w:rsid w:val="51DC0DF8"/>
    <w:rsid w:val="51E43809"/>
    <w:rsid w:val="51FE2F47"/>
    <w:rsid w:val="52462715"/>
    <w:rsid w:val="52AA2CA4"/>
    <w:rsid w:val="537A08C9"/>
    <w:rsid w:val="53980D4F"/>
    <w:rsid w:val="539A4FAB"/>
    <w:rsid w:val="54AE00FE"/>
    <w:rsid w:val="54C40FED"/>
    <w:rsid w:val="5543118E"/>
    <w:rsid w:val="555313D1"/>
    <w:rsid w:val="556E3B64"/>
    <w:rsid w:val="55A439DB"/>
    <w:rsid w:val="56025F50"/>
    <w:rsid w:val="56206DD9"/>
    <w:rsid w:val="56DE116E"/>
    <w:rsid w:val="56ED13B1"/>
    <w:rsid w:val="57B123DF"/>
    <w:rsid w:val="57D60097"/>
    <w:rsid w:val="581D1822"/>
    <w:rsid w:val="58207565"/>
    <w:rsid w:val="59405599"/>
    <w:rsid w:val="5A5F25C6"/>
    <w:rsid w:val="5A9658BC"/>
    <w:rsid w:val="5AE96334"/>
    <w:rsid w:val="5B522F45"/>
    <w:rsid w:val="5BCA3A6F"/>
    <w:rsid w:val="5BE30FD5"/>
    <w:rsid w:val="5C5F202C"/>
    <w:rsid w:val="5C6739B4"/>
    <w:rsid w:val="5CCA380F"/>
    <w:rsid w:val="5D1D22C5"/>
    <w:rsid w:val="5E0314BA"/>
    <w:rsid w:val="5E0771FD"/>
    <w:rsid w:val="62AA45FB"/>
    <w:rsid w:val="62EA2C49"/>
    <w:rsid w:val="634077BA"/>
    <w:rsid w:val="63F024E1"/>
    <w:rsid w:val="63F20007"/>
    <w:rsid w:val="650C334B"/>
    <w:rsid w:val="66652D12"/>
    <w:rsid w:val="66794A10"/>
    <w:rsid w:val="66A23F66"/>
    <w:rsid w:val="66CD2666"/>
    <w:rsid w:val="67053946"/>
    <w:rsid w:val="67B81568"/>
    <w:rsid w:val="67C24194"/>
    <w:rsid w:val="67E20393"/>
    <w:rsid w:val="68182006"/>
    <w:rsid w:val="682E35D8"/>
    <w:rsid w:val="68EA5751"/>
    <w:rsid w:val="691B0000"/>
    <w:rsid w:val="696077C1"/>
    <w:rsid w:val="6A10568B"/>
    <w:rsid w:val="6AE3108D"/>
    <w:rsid w:val="6B9B71D6"/>
    <w:rsid w:val="6BF15048"/>
    <w:rsid w:val="6BF608B1"/>
    <w:rsid w:val="6BF6265F"/>
    <w:rsid w:val="6CEF2E13"/>
    <w:rsid w:val="6D702574"/>
    <w:rsid w:val="6D76277F"/>
    <w:rsid w:val="6E313E22"/>
    <w:rsid w:val="6F9603E0"/>
    <w:rsid w:val="70157173"/>
    <w:rsid w:val="70923426"/>
    <w:rsid w:val="70E37655"/>
    <w:rsid w:val="713E2ADE"/>
    <w:rsid w:val="71902C0D"/>
    <w:rsid w:val="71A30B93"/>
    <w:rsid w:val="720C2BDC"/>
    <w:rsid w:val="72BC63B0"/>
    <w:rsid w:val="731F249B"/>
    <w:rsid w:val="737427E7"/>
    <w:rsid w:val="73813156"/>
    <w:rsid w:val="739E5AB6"/>
    <w:rsid w:val="73AD4358"/>
    <w:rsid w:val="74626AE3"/>
    <w:rsid w:val="749018A2"/>
    <w:rsid w:val="751A116C"/>
    <w:rsid w:val="75976C60"/>
    <w:rsid w:val="760C31AA"/>
    <w:rsid w:val="76487F5B"/>
    <w:rsid w:val="769C5904"/>
    <w:rsid w:val="77B51620"/>
    <w:rsid w:val="786D1EFA"/>
    <w:rsid w:val="78A53442"/>
    <w:rsid w:val="78B83176"/>
    <w:rsid w:val="79181E66"/>
    <w:rsid w:val="79AD6A52"/>
    <w:rsid w:val="79CE4C1B"/>
    <w:rsid w:val="7A3B3BAF"/>
    <w:rsid w:val="7A543372"/>
    <w:rsid w:val="7AC25DAF"/>
    <w:rsid w:val="7BAD0F8C"/>
    <w:rsid w:val="7C1A2EDC"/>
    <w:rsid w:val="7C507B69"/>
    <w:rsid w:val="7C765821"/>
    <w:rsid w:val="7CA83501"/>
    <w:rsid w:val="7E4454AB"/>
    <w:rsid w:val="7E8E6727"/>
    <w:rsid w:val="7EA70515"/>
    <w:rsid w:val="7F0D7F93"/>
    <w:rsid w:val="7F604567"/>
    <w:rsid w:val="7F671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semiHidden/>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6">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4"/>
    <w:autoRedefine/>
    <w:qFormat/>
    <w:uiPriority w:val="99"/>
    <w:rPr>
      <w:sz w:val="18"/>
      <w:szCs w:val="18"/>
    </w:rPr>
  </w:style>
  <w:style w:type="character" w:customStyle="1" w:styleId="11">
    <w:name w:val="页脚 Char"/>
    <w:basedOn w:val="9"/>
    <w:link w:val="3"/>
    <w:autoRedefine/>
    <w:qFormat/>
    <w:uiPriority w:val="99"/>
    <w:rPr>
      <w:sz w:val="18"/>
      <w:szCs w:val="18"/>
    </w:rPr>
  </w:style>
  <w:style w:type="character" w:customStyle="1" w:styleId="12">
    <w:name w:val="批注框文本 Char"/>
    <w:basedOn w:val="9"/>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3355</Words>
  <Characters>3455</Characters>
  <Lines>19</Lines>
  <Paragraphs>5</Paragraphs>
  <TotalTime>0</TotalTime>
  <ScaleCrop>false</ScaleCrop>
  <LinksUpToDate>false</LinksUpToDate>
  <CharactersWithSpaces>3457</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WPS_1648986220</cp:lastModifiedBy>
  <dcterms:modified xsi:type="dcterms:W3CDTF">2024-05-09T05:49:02Z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6AAE6B21FEE14E34846FB20A7B18AEE3_12</vt:lpwstr>
  </property>
</Properties>
</file>