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6DE1" w:rsidRDefault="00FB6DE1" w:rsidP="00FB6DE1">
      <w:pPr>
        <w:jc w:val="center"/>
        <w:rPr>
          <w:rFonts w:ascii="宋体" w:hAnsi="宋体"/>
          <w:sz w:val="36"/>
          <w:szCs w:val="36"/>
        </w:rPr>
      </w:pPr>
      <w:r>
        <w:rPr>
          <w:rFonts w:ascii="宋体" w:hAnsi="宋体" w:hint="eastAsia"/>
          <w:sz w:val="36"/>
          <w:szCs w:val="36"/>
        </w:rPr>
        <w:t>清单编制说明</w:t>
      </w:r>
    </w:p>
    <w:p w:rsidR="00FB6DE1" w:rsidRDefault="00FB6DE1" w:rsidP="00FB6DE1">
      <w:pPr>
        <w:rPr>
          <w:rFonts w:ascii="宋体" w:hAnsi="宋体"/>
          <w:sz w:val="28"/>
          <w:szCs w:val="28"/>
        </w:rPr>
      </w:pPr>
      <w:r>
        <w:rPr>
          <w:rFonts w:ascii="宋体" w:hAnsi="宋体" w:hint="eastAsia"/>
          <w:sz w:val="28"/>
          <w:szCs w:val="28"/>
        </w:rPr>
        <w:t>工程名称:南京大学</w:t>
      </w:r>
      <w:proofErr w:type="gramStart"/>
      <w:r>
        <w:rPr>
          <w:rFonts w:ascii="宋体" w:hAnsi="宋体" w:hint="eastAsia"/>
          <w:sz w:val="28"/>
          <w:szCs w:val="28"/>
        </w:rPr>
        <w:t>仙</w:t>
      </w:r>
      <w:proofErr w:type="gramEnd"/>
      <w:r>
        <w:rPr>
          <w:rFonts w:ascii="宋体" w:hAnsi="宋体" w:hint="eastAsia"/>
          <w:sz w:val="28"/>
          <w:szCs w:val="28"/>
        </w:rPr>
        <w:t>林校区</w:t>
      </w:r>
      <w:proofErr w:type="gramStart"/>
      <w:r>
        <w:rPr>
          <w:rFonts w:ascii="宋体" w:hAnsi="宋体" w:hint="eastAsia"/>
          <w:sz w:val="28"/>
          <w:szCs w:val="28"/>
        </w:rPr>
        <w:t>众创空间</w:t>
      </w:r>
      <w:proofErr w:type="gramEnd"/>
      <w:r>
        <w:rPr>
          <w:rFonts w:ascii="宋体" w:hAnsi="宋体" w:hint="eastAsia"/>
          <w:sz w:val="28"/>
          <w:szCs w:val="28"/>
        </w:rPr>
        <w:t>项目配电箱</w:t>
      </w:r>
      <w:r w:rsidR="00BB1CDD">
        <w:rPr>
          <w:rFonts w:ascii="宋体" w:hAnsi="宋体" w:hint="eastAsia"/>
          <w:sz w:val="28"/>
          <w:szCs w:val="28"/>
        </w:rPr>
        <w:t>采购</w:t>
      </w:r>
      <w:r>
        <w:rPr>
          <w:rFonts w:ascii="宋体" w:hAnsi="宋体" w:hint="eastAsia"/>
          <w:sz w:val="28"/>
          <w:szCs w:val="28"/>
        </w:rPr>
        <w:t>安装工程</w:t>
      </w:r>
    </w:p>
    <w:p w:rsidR="00FB6DE1" w:rsidRDefault="00FB6DE1" w:rsidP="00FB6DE1">
      <w:pPr>
        <w:rPr>
          <w:rFonts w:ascii="宋体" w:hAnsi="宋体"/>
          <w:sz w:val="28"/>
          <w:szCs w:val="28"/>
        </w:rPr>
      </w:pPr>
      <w:r>
        <w:rPr>
          <w:rFonts w:ascii="宋体" w:hAnsi="宋体" w:hint="eastAsia"/>
          <w:sz w:val="28"/>
          <w:szCs w:val="28"/>
        </w:rPr>
        <w:t>一、工程概况：</w:t>
      </w:r>
    </w:p>
    <w:p w:rsidR="00FB6DE1" w:rsidRDefault="00FB6DE1" w:rsidP="00FB6DE1">
      <w:pPr>
        <w:autoSpaceDE w:val="0"/>
        <w:autoSpaceDN w:val="0"/>
        <w:adjustRightInd w:val="0"/>
        <w:spacing w:line="360" w:lineRule="auto"/>
        <w:jc w:val="left"/>
        <w:rPr>
          <w:rFonts w:ascii="宋体" w:hAnsi="宋体"/>
          <w:sz w:val="28"/>
          <w:szCs w:val="28"/>
        </w:rPr>
      </w:pPr>
      <w:r>
        <w:rPr>
          <w:rFonts w:ascii="宋体" w:hAnsi="宋体" w:hint="eastAsia"/>
          <w:sz w:val="28"/>
          <w:szCs w:val="28"/>
        </w:rPr>
        <w:t xml:space="preserve">    南京大学</w:t>
      </w:r>
      <w:proofErr w:type="gramStart"/>
      <w:r>
        <w:rPr>
          <w:rFonts w:ascii="宋体" w:hAnsi="宋体" w:hint="eastAsia"/>
          <w:sz w:val="28"/>
          <w:szCs w:val="28"/>
        </w:rPr>
        <w:t>仙</w:t>
      </w:r>
      <w:proofErr w:type="gramEnd"/>
      <w:r>
        <w:rPr>
          <w:rFonts w:ascii="宋体" w:hAnsi="宋体" w:hint="eastAsia"/>
          <w:sz w:val="28"/>
          <w:szCs w:val="28"/>
        </w:rPr>
        <w:t>林校区</w:t>
      </w:r>
      <w:proofErr w:type="gramStart"/>
      <w:r>
        <w:rPr>
          <w:rFonts w:ascii="宋体" w:hAnsi="宋体" w:hint="eastAsia"/>
          <w:sz w:val="28"/>
          <w:szCs w:val="28"/>
        </w:rPr>
        <w:t>众创空间</w:t>
      </w:r>
      <w:proofErr w:type="gramEnd"/>
      <w:r>
        <w:rPr>
          <w:rFonts w:ascii="宋体" w:hAnsi="宋体" w:hint="eastAsia"/>
          <w:sz w:val="28"/>
          <w:szCs w:val="28"/>
        </w:rPr>
        <w:t>项目配电箱</w:t>
      </w:r>
      <w:r w:rsidR="00BB1CDD">
        <w:rPr>
          <w:rFonts w:ascii="宋体" w:hAnsi="宋体" w:hint="eastAsia"/>
          <w:sz w:val="28"/>
          <w:szCs w:val="28"/>
        </w:rPr>
        <w:t>采购</w:t>
      </w:r>
      <w:r>
        <w:rPr>
          <w:rFonts w:ascii="宋体" w:hAnsi="宋体" w:hint="eastAsia"/>
          <w:sz w:val="28"/>
          <w:szCs w:val="28"/>
        </w:rPr>
        <w:t>安装工程，位于南京大学</w:t>
      </w:r>
      <w:proofErr w:type="gramStart"/>
      <w:r>
        <w:rPr>
          <w:rFonts w:ascii="宋体" w:hAnsi="宋体" w:hint="eastAsia"/>
          <w:sz w:val="28"/>
          <w:szCs w:val="28"/>
        </w:rPr>
        <w:t>仙</w:t>
      </w:r>
      <w:proofErr w:type="gramEnd"/>
      <w:r>
        <w:rPr>
          <w:rFonts w:ascii="宋体" w:hAnsi="宋体" w:hint="eastAsia"/>
          <w:sz w:val="28"/>
          <w:szCs w:val="28"/>
        </w:rPr>
        <w:t>林校区。</w:t>
      </w:r>
    </w:p>
    <w:p w:rsidR="00FB6DE1" w:rsidRDefault="00FB6DE1" w:rsidP="00FB6DE1">
      <w:pPr>
        <w:autoSpaceDE w:val="0"/>
        <w:autoSpaceDN w:val="0"/>
        <w:adjustRightInd w:val="0"/>
        <w:spacing w:line="360" w:lineRule="auto"/>
        <w:jc w:val="left"/>
        <w:rPr>
          <w:rFonts w:ascii="宋体" w:hAnsi="宋体"/>
          <w:sz w:val="28"/>
          <w:szCs w:val="28"/>
        </w:rPr>
      </w:pPr>
      <w:r>
        <w:rPr>
          <w:rFonts w:ascii="宋体" w:hAnsi="宋体" w:hint="eastAsia"/>
          <w:sz w:val="28"/>
          <w:szCs w:val="28"/>
        </w:rPr>
        <w:t>二、工程范围：安装工程。</w:t>
      </w:r>
    </w:p>
    <w:p w:rsidR="00FB6DE1" w:rsidRDefault="00FB6DE1" w:rsidP="00FB6DE1">
      <w:pPr>
        <w:autoSpaceDE w:val="0"/>
        <w:autoSpaceDN w:val="0"/>
        <w:adjustRightInd w:val="0"/>
        <w:spacing w:line="360" w:lineRule="auto"/>
        <w:jc w:val="left"/>
        <w:rPr>
          <w:rFonts w:ascii="宋体" w:hAnsi="宋体"/>
          <w:sz w:val="28"/>
          <w:szCs w:val="28"/>
        </w:rPr>
      </w:pPr>
      <w:r>
        <w:rPr>
          <w:rFonts w:ascii="宋体" w:hAnsi="宋体" w:hint="eastAsia"/>
          <w:sz w:val="28"/>
          <w:szCs w:val="28"/>
        </w:rPr>
        <w:t>三、工程量清单编制依据</w:t>
      </w:r>
    </w:p>
    <w:p w:rsidR="00FB6DE1" w:rsidRDefault="00FB6DE1" w:rsidP="00FB6DE1">
      <w:pPr>
        <w:numPr>
          <w:ilvl w:val="0"/>
          <w:numId w:val="1"/>
        </w:numPr>
        <w:rPr>
          <w:rFonts w:ascii="宋体" w:hAnsi="宋体"/>
          <w:sz w:val="28"/>
          <w:szCs w:val="28"/>
        </w:rPr>
      </w:pPr>
      <w:r>
        <w:rPr>
          <w:rFonts w:ascii="宋体" w:hAnsi="宋体" w:hint="eastAsia"/>
          <w:sz w:val="28"/>
          <w:szCs w:val="28"/>
        </w:rPr>
        <w:t xml:space="preserve"> </w:t>
      </w:r>
      <w:r>
        <w:rPr>
          <w:rFonts w:ascii="宋体" w:hAnsi="Arial" w:cs="宋体" w:hint="eastAsia"/>
          <w:kern w:val="0"/>
          <w:sz w:val="28"/>
          <w:szCs w:val="28"/>
          <w:lang w:val="zh-CN"/>
        </w:rPr>
        <w:t>建设单位提供设计图纸及会议纪要、图纸答疑等双方往来文件。</w:t>
      </w:r>
    </w:p>
    <w:p w:rsidR="00FB6DE1" w:rsidRPr="0057445E" w:rsidRDefault="00FB6DE1" w:rsidP="00FB6DE1">
      <w:pPr>
        <w:numPr>
          <w:ilvl w:val="0"/>
          <w:numId w:val="1"/>
        </w:numPr>
        <w:rPr>
          <w:rFonts w:ascii="宋体" w:hAnsi="宋体"/>
          <w:sz w:val="28"/>
          <w:szCs w:val="28"/>
        </w:rPr>
      </w:pPr>
      <w:r w:rsidRPr="00C11DE3">
        <w:rPr>
          <w:rFonts w:ascii="宋体" w:hAnsi="宋体" w:hint="eastAsia"/>
          <w:sz w:val="28"/>
          <w:szCs w:val="28"/>
        </w:rPr>
        <w:t>《江苏省安装工程计价定额》</w:t>
      </w:r>
      <w:r w:rsidRPr="0057445E">
        <w:rPr>
          <w:rFonts w:ascii="宋体" w:hAnsi="宋体" w:hint="eastAsia"/>
          <w:sz w:val="28"/>
          <w:szCs w:val="28"/>
        </w:rPr>
        <w:t>（</w:t>
      </w:r>
      <w:r w:rsidRPr="0057445E">
        <w:rPr>
          <w:rFonts w:ascii="宋体" w:hAnsi="宋体"/>
          <w:sz w:val="28"/>
          <w:szCs w:val="28"/>
        </w:rPr>
        <w:t>2014</w:t>
      </w:r>
      <w:r w:rsidRPr="0057445E">
        <w:rPr>
          <w:rFonts w:ascii="宋体" w:hAnsi="宋体" w:hint="eastAsia"/>
          <w:sz w:val="28"/>
          <w:szCs w:val="28"/>
        </w:rPr>
        <w:t>年）</w:t>
      </w:r>
    </w:p>
    <w:p w:rsidR="00FB6DE1" w:rsidRDefault="00FB6DE1" w:rsidP="00FB6DE1">
      <w:pPr>
        <w:numPr>
          <w:ilvl w:val="0"/>
          <w:numId w:val="1"/>
        </w:numPr>
        <w:rPr>
          <w:rFonts w:ascii="宋体" w:hAnsi="宋体"/>
          <w:sz w:val="28"/>
          <w:szCs w:val="28"/>
        </w:rPr>
      </w:pPr>
      <w:r>
        <w:rPr>
          <w:rFonts w:ascii="宋体" w:hAnsi="宋体" w:hint="eastAsia"/>
          <w:sz w:val="28"/>
          <w:szCs w:val="28"/>
        </w:rPr>
        <w:t>《江苏省建设工程费用定额》（2014）</w:t>
      </w:r>
    </w:p>
    <w:p w:rsidR="00FB6DE1" w:rsidRDefault="00FB6DE1" w:rsidP="00FB6DE1">
      <w:pPr>
        <w:numPr>
          <w:ilvl w:val="0"/>
          <w:numId w:val="1"/>
        </w:numPr>
        <w:rPr>
          <w:rFonts w:ascii="宋体" w:hAnsi="宋体"/>
          <w:sz w:val="28"/>
          <w:szCs w:val="28"/>
        </w:rPr>
      </w:pPr>
      <w:r>
        <w:rPr>
          <w:rFonts w:ascii="宋体" w:hAnsi="宋体" w:hint="eastAsia"/>
          <w:sz w:val="28"/>
          <w:szCs w:val="28"/>
        </w:rPr>
        <w:t>建筑工程造价</w:t>
      </w:r>
      <w:proofErr w:type="gramStart"/>
      <w:r>
        <w:rPr>
          <w:rFonts w:ascii="宋体" w:hAnsi="宋体" w:hint="eastAsia"/>
          <w:sz w:val="28"/>
          <w:szCs w:val="28"/>
        </w:rPr>
        <w:t>营改增一般</w:t>
      </w:r>
      <w:proofErr w:type="gramEnd"/>
      <w:r>
        <w:rPr>
          <w:rFonts w:ascii="宋体" w:hAnsi="宋体" w:hint="eastAsia"/>
          <w:sz w:val="28"/>
          <w:szCs w:val="28"/>
        </w:rPr>
        <w:t>计税按照江苏省住房和城乡建设厅下发的苏建函价（2019）178号文执行。</w:t>
      </w:r>
    </w:p>
    <w:p w:rsidR="00FB6DE1" w:rsidRDefault="00FB6DE1" w:rsidP="00FB6DE1">
      <w:pPr>
        <w:numPr>
          <w:ilvl w:val="0"/>
          <w:numId w:val="1"/>
        </w:numPr>
        <w:rPr>
          <w:rFonts w:ascii="宋体" w:hAnsi="宋体"/>
          <w:sz w:val="28"/>
          <w:szCs w:val="28"/>
        </w:rPr>
      </w:pPr>
      <w:r>
        <w:rPr>
          <w:rFonts w:ascii="宋体" w:hAnsi="宋体" w:hint="eastAsia"/>
          <w:sz w:val="28"/>
          <w:szCs w:val="28"/>
        </w:rPr>
        <w:t>省住房城乡建设厅关于建筑业实施</w:t>
      </w:r>
      <w:proofErr w:type="gramStart"/>
      <w:r>
        <w:rPr>
          <w:rFonts w:ascii="宋体" w:hAnsi="宋体" w:hint="eastAsia"/>
          <w:sz w:val="28"/>
          <w:szCs w:val="28"/>
        </w:rPr>
        <w:t>营改增</w:t>
      </w:r>
      <w:proofErr w:type="gramEnd"/>
      <w:r>
        <w:rPr>
          <w:rFonts w:ascii="宋体" w:hAnsi="宋体" w:hint="eastAsia"/>
          <w:sz w:val="28"/>
          <w:szCs w:val="28"/>
        </w:rPr>
        <w:t>后江苏省建设工程计价依据调整的通知（</w:t>
      </w:r>
      <w:proofErr w:type="gramStart"/>
      <w:r>
        <w:rPr>
          <w:rFonts w:ascii="宋体" w:hAnsi="宋体" w:hint="eastAsia"/>
          <w:sz w:val="28"/>
          <w:szCs w:val="28"/>
        </w:rPr>
        <w:t>苏建价〔2016〕</w:t>
      </w:r>
      <w:proofErr w:type="gramEnd"/>
      <w:r>
        <w:rPr>
          <w:rFonts w:ascii="宋体" w:hAnsi="宋体" w:hint="eastAsia"/>
          <w:sz w:val="28"/>
          <w:szCs w:val="28"/>
        </w:rPr>
        <w:t>154号）。</w:t>
      </w:r>
    </w:p>
    <w:p w:rsidR="00FB6DE1" w:rsidRDefault="00FB6DE1" w:rsidP="00FB6DE1">
      <w:pPr>
        <w:numPr>
          <w:ilvl w:val="0"/>
          <w:numId w:val="1"/>
        </w:numPr>
        <w:rPr>
          <w:rFonts w:ascii="宋体" w:hAnsi="宋体"/>
          <w:sz w:val="28"/>
          <w:szCs w:val="28"/>
        </w:rPr>
      </w:pPr>
      <w:r>
        <w:rPr>
          <w:rFonts w:ascii="宋体" w:hAnsi="宋体" w:hint="eastAsia"/>
          <w:sz w:val="28"/>
          <w:szCs w:val="28"/>
        </w:rPr>
        <w:t>江苏省南京市相关计价文件</w:t>
      </w:r>
    </w:p>
    <w:p w:rsidR="00FB6DE1" w:rsidRPr="00FB6DE1" w:rsidRDefault="00FB6DE1" w:rsidP="00FB6DE1">
      <w:pPr>
        <w:numPr>
          <w:ilvl w:val="0"/>
          <w:numId w:val="2"/>
        </w:numPr>
        <w:rPr>
          <w:rFonts w:ascii="宋体" w:hAnsi="宋体"/>
          <w:sz w:val="28"/>
          <w:szCs w:val="28"/>
        </w:rPr>
      </w:pPr>
      <w:r>
        <w:rPr>
          <w:rFonts w:ascii="宋体" w:hAnsi="宋体" w:hint="eastAsia"/>
          <w:sz w:val="28"/>
          <w:szCs w:val="28"/>
        </w:rPr>
        <w:t>图纸及工程量计算中的相关说明：</w:t>
      </w:r>
      <w:r w:rsidRPr="00FB6DE1">
        <w:rPr>
          <w:rFonts w:ascii="宋体" w:hAnsi="宋体" w:hint="eastAsia"/>
          <w:sz w:val="28"/>
          <w:szCs w:val="28"/>
        </w:rPr>
        <w:t xml:space="preserve">                                                   </w:t>
      </w:r>
    </w:p>
    <w:p w:rsidR="00FB6DE1" w:rsidRDefault="00FB6DE1" w:rsidP="00FB6DE1">
      <w:pPr>
        <w:rPr>
          <w:rFonts w:ascii="宋体" w:hAnsi="宋体"/>
          <w:sz w:val="28"/>
          <w:szCs w:val="28"/>
        </w:rPr>
      </w:pPr>
      <w:r>
        <w:rPr>
          <w:rFonts w:ascii="宋体" w:hAnsi="宋体" w:hint="eastAsia"/>
          <w:sz w:val="28"/>
          <w:szCs w:val="28"/>
        </w:rPr>
        <w:t>（</w:t>
      </w:r>
      <w:r w:rsidR="00F26819">
        <w:rPr>
          <w:rFonts w:ascii="宋体" w:hAnsi="宋体" w:hint="eastAsia"/>
          <w:sz w:val="28"/>
          <w:szCs w:val="28"/>
        </w:rPr>
        <w:t>一</w:t>
      </w:r>
      <w:r>
        <w:rPr>
          <w:rFonts w:ascii="宋体" w:hAnsi="宋体" w:hint="eastAsia"/>
          <w:sz w:val="28"/>
          <w:szCs w:val="28"/>
        </w:rPr>
        <w:t>）安装工程编制说明:</w:t>
      </w:r>
    </w:p>
    <w:p w:rsidR="00FB6DE1" w:rsidRPr="00A9640B" w:rsidRDefault="00FB6DE1" w:rsidP="00FB6DE1">
      <w:pPr>
        <w:ind w:firstLineChars="200" w:firstLine="560"/>
        <w:rPr>
          <w:rFonts w:ascii="宋体" w:hAnsi="宋体"/>
          <w:sz w:val="28"/>
          <w:szCs w:val="28"/>
        </w:rPr>
      </w:pPr>
      <w:r>
        <w:rPr>
          <w:rFonts w:ascii="宋体" w:hAnsi="宋体" w:hint="eastAsia"/>
          <w:sz w:val="28"/>
          <w:szCs w:val="28"/>
        </w:rPr>
        <w:t>1.</w:t>
      </w:r>
      <w:r w:rsidRPr="00FB6DE1">
        <w:rPr>
          <w:rFonts w:hint="eastAsia"/>
        </w:rPr>
        <w:t xml:space="preserve"> </w:t>
      </w:r>
      <w:r w:rsidRPr="00FB6DE1">
        <w:rPr>
          <w:rFonts w:ascii="宋体" w:hAnsi="宋体" w:hint="eastAsia"/>
          <w:sz w:val="28"/>
          <w:szCs w:val="28"/>
        </w:rPr>
        <w:t>为保证配电箱安装后和配管的正常连接，总包配管敷至距配电箱0.</w:t>
      </w:r>
      <w:r w:rsidR="00A6171E">
        <w:rPr>
          <w:rFonts w:ascii="宋体" w:hAnsi="宋体" w:hint="eastAsia"/>
          <w:sz w:val="28"/>
          <w:szCs w:val="28"/>
        </w:rPr>
        <w:t>5</w:t>
      </w:r>
      <w:r w:rsidRPr="00FB6DE1">
        <w:rPr>
          <w:rFonts w:ascii="宋体" w:hAnsi="宋体" w:hint="eastAsia"/>
          <w:sz w:val="28"/>
          <w:szCs w:val="28"/>
        </w:rPr>
        <w:t>m，剩余配管待配电箱安装到位后由投标人施工，不得对原有管道进行破坏，保证与总包管道连接处的美观和符合施工验收规范。电气配管暗敷清单均包含了墙体开</w:t>
      </w:r>
      <w:r w:rsidR="00A6171E" w:rsidRPr="00FB6DE1">
        <w:rPr>
          <w:rFonts w:ascii="宋体" w:hAnsi="宋体" w:hint="eastAsia"/>
          <w:sz w:val="28"/>
          <w:szCs w:val="28"/>
        </w:rPr>
        <w:t>补</w:t>
      </w:r>
      <w:r w:rsidRPr="00FB6DE1">
        <w:rPr>
          <w:rFonts w:ascii="宋体" w:hAnsi="宋体" w:hint="eastAsia"/>
          <w:sz w:val="28"/>
          <w:szCs w:val="28"/>
        </w:rPr>
        <w:t>槽</w:t>
      </w:r>
      <w:r w:rsidR="00A6171E">
        <w:rPr>
          <w:rFonts w:ascii="宋体" w:hAnsi="宋体" w:hint="eastAsia"/>
          <w:sz w:val="28"/>
          <w:szCs w:val="28"/>
        </w:rPr>
        <w:t>、垃圾清运</w:t>
      </w:r>
      <w:r w:rsidRPr="00FB6DE1">
        <w:rPr>
          <w:rFonts w:ascii="宋体" w:hAnsi="宋体" w:hint="eastAsia"/>
          <w:sz w:val="28"/>
          <w:szCs w:val="28"/>
        </w:rPr>
        <w:t>工作，结算时不做调整。</w:t>
      </w:r>
      <w:r w:rsidRPr="00A9640B">
        <w:rPr>
          <w:rFonts w:ascii="宋体" w:hAnsi="宋体"/>
          <w:sz w:val="28"/>
          <w:szCs w:val="28"/>
        </w:rPr>
        <w:t xml:space="preserve"> </w:t>
      </w:r>
    </w:p>
    <w:p w:rsidR="00FB6DE1" w:rsidRPr="00A9640B" w:rsidRDefault="00FB6DE1" w:rsidP="00FB6DE1">
      <w:pPr>
        <w:ind w:firstLineChars="200" w:firstLine="560"/>
        <w:rPr>
          <w:rFonts w:ascii="宋体" w:hAnsi="宋体"/>
          <w:sz w:val="28"/>
          <w:szCs w:val="28"/>
        </w:rPr>
      </w:pPr>
      <w:r>
        <w:rPr>
          <w:rFonts w:ascii="宋体" w:hAnsi="宋体" w:hint="eastAsia"/>
          <w:sz w:val="28"/>
          <w:szCs w:val="28"/>
        </w:rPr>
        <w:t>2.</w:t>
      </w:r>
      <w:r w:rsidRPr="00FB6DE1">
        <w:rPr>
          <w:rFonts w:hint="eastAsia"/>
        </w:rPr>
        <w:t xml:space="preserve"> </w:t>
      </w:r>
      <w:r w:rsidRPr="00FB6DE1">
        <w:rPr>
          <w:rFonts w:ascii="宋体" w:hAnsi="宋体" w:hint="eastAsia"/>
          <w:sz w:val="28"/>
          <w:szCs w:val="28"/>
        </w:rPr>
        <w:t>挂墙安装的配电箱包含了箱子与墙体之间的固定件和紧固件，</w:t>
      </w:r>
      <w:proofErr w:type="gramStart"/>
      <w:r w:rsidRPr="00FB6DE1">
        <w:rPr>
          <w:rFonts w:ascii="宋体" w:hAnsi="宋体" w:hint="eastAsia"/>
          <w:sz w:val="28"/>
          <w:szCs w:val="28"/>
        </w:rPr>
        <w:t>嵌</w:t>
      </w:r>
      <w:r w:rsidRPr="00FB6DE1">
        <w:rPr>
          <w:rFonts w:ascii="宋体" w:hAnsi="宋体" w:hint="eastAsia"/>
          <w:sz w:val="28"/>
          <w:szCs w:val="28"/>
        </w:rPr>
        <w:lastRenderedPageBreak/>
        <w:t>墙安装</w:t>
      </w:r>
      <w:proofErr w:type="gramEnd"/>
      <w:r w:rsidRPr="00FB6DE1">
        <w:rPr>
          <w:rFonts w:ascii="宋体" w:hAnsi="宋体" w:hint="eastAsia"/>
          <w:sz w:val="28"/>
          <w:szCs w:val="28"/>
        </w:rPr>
        <w:t>的配电箱包含了墙体开槽和开槽后墙面的修补，修补后的墙面需与原状一致且满足验收要求。以上费用在配电箱安装清单项中均以包含，结算时不得因任何情况或施工条件限制等作为理由调整，对墙面造成的破坏和修补不满足验收要求而产生的费用由投标人负责。</w:t>
      </w:r>
      <w:r w:rsidRPr="00A9640B">
        <w:rPr>
          <w:rFonts w:ascii="宋体" w:hAnsi="宋体" w:hint="eastAsia"/>
          <w:sz w:val="28"/>
          <w:szCs w:val="28"/>
        </w:rPr>
        <w:t xml:space="preserve"> </w:t>
      </w:r>
    </w:p>
    <w:p w:rsidR="00FB6DE1" w:rsidRPr="00FB6DE1" w:rsidRDefault="00FB6DE1" w:rsidP="00FB6DE1">
      <w:pPr>
        <w:ind w:firstLineChars="200" w:firstLine="560"/>
        <w:rPr>
          <w:rFonts w:ascii="宋体" w:hAnsi="宋体"/>
          <w:sz w:val="28"/>
          <w:szCs w:val="28"/>
        </w:rPr>
      </w:pPr>
      <w:r>
        <w:rPr>
          <w:rFonts w:ascii="宋体" w:hAnsi="宋体" w:hint="eastAsia"/>
          <w:sz w:val="28"/>
          <w:szCs w:val="28"/>
        </w:rPr>
        <w:t>3.</w:t>
      </w:r>
      <w:r w:rsidRPr="00FB6DE1">
        <w:rPr>
          <w:rFonts w:hint="eastAsia"/>
        </w:rPr>
        <w:t xml:space="preserve"> </w:t>
      </w:r>
      <w:r w:rsidRPr="00FB6DE1">
        <w:rPr>
          <w:rFonts w:ascii="宋体" w:hAnsi="宋体" w:hint="eastAsia"/>
          <w:sz w:val="28"/>
          <w:szCs w:val="28"/>
        </w:rPr>
        <w:t>配电箱包含了箱体及配电箱内部所有设备和附件，电气火灾检测设备和漏电检测设备</w:t>
      </w:r>
      <w:r w:rsidR="004D2D2D">
        <w:rPr>
          <w:rFonts w:ascii="宋体" w:hAnsi="宋体" w:hint="eastAsia"/>
          <w:sz w:val="28"/>
          <w:szCs w:val="28"/>
        </w:rPr>
        <w:t>、</w:t>
      </w:r>
      <w:r w:rsidR="004D2D2D" w:rsidRPr="004D2D2D">
        <w:rPr>
          <w:rFonts w:ascii="宋体" w:hAnsi="宋体" w:hint="eastAsia"/>
          <w:sz w:val="28"/>
          <w:szCs w:val="28"/>
        </w:rPr>
        <w:t>消防类监测模块</w:t>
      </w:r>
      <w:r w:rsidRPr="00FB6DE1">
        <w:rPr>
          <w:rFonts w:ascii="宋体" w:hAnsi="宋体" w:hint="eastAsia"/>
          <w:sz w:val="28"/>
          <w:szCs w:val="28"/>
        </w:rPr>
        <w:t>等都包含在内，投标人充分考虑此类元器件和整个系统的兼容性，结算时不做调整。</w:t>
      </w:r>
      <w:r w:rsidR="00054384" w:rsidRPr="00054384">
        <w:rPr>
          <w:rFonts w:ascii="宋体" w:hAnsi="宋体" w:hint="eastAsia"/>
          <w:sz w:val="28"/>
          <w:szCs w:val="28"/>
        </w:rPr>
        <w:t>不含智能应急照明分配电系统、EPS、UPS、消防电源监控主机、电气火灾主机及厂家配套产品</w:t>
      </w:r>
      <w:r w:rsidR="00054384">
        <w:rPr>
          <w:rFonts w:ascii="宋体" w:hAnsi="宋体" w:hint="eastAsia"/>
          <w:sz w:val="28"/>
          <w:szCs w:val="28"/>
        </w:rPr>
        <w:t>。</w:t>
      </w:r>
    </w:p>
    <w:p w:rsidR="00FB6DE1" w:rsidRPr="00FB6DE1" w:rsidRDefault="00FB6DE1" w:rsidP="00FB6DE1">
      <w:pPr>
        <w:ind w:firstLineChars="200" w:firstLine="560"/>
        <w:rPr>
          <w:rFonts w:ascii="宋体" w:hAnsi="宋体"/>
          <w:sz w:val="28"/>
          <w:szCs w:val="28"/>
        </w:rPr>
      </w:pPr>
      <w:r>
        <w:rPr>
          <w:rFonts w:ascii="宋体" w:hAnsi="宋体" w:hint="eastAsia"/>
          <w:sz w:val="28"/>
          <w:szCs w:val="28"/>
        </w:rPr>
        <w:t>4.</w:t>
      </w:r>
      <w:r w:rsidRPr="00FB6DE1">
        <w:rPr>
          <w:rFonts w:hint="eastAsia"/>
        </w:rPr>
        <w:t xml:space="preserve"> </w:t>
      </w:r>
      <w:r w:rsidRPr="00FB6DE1">
        <w:rPr>
          <w:rFonts w:ascii="宋体" w:hAnsi="宋体" w:hint="eastAsia"/>
          <w:sz w:val="28"/>
          <w:szCs w:val="28"/>
        </w:rPr>
        <w:t>配电箱安装完毕后，配电箱上、下桩头与电线电缆的接线工作由电线敷设单位负责。</w:t>
      </w:r>
    </w:p>
    <w:p w:rsidR="00FB6DE1" w:rsidRPr="00A9640B" w:rsidRDefault="00FB6DE1" w:rsidP="00FB6DE1">
      <w:pPr>
        <w:ind w:firstLineChars="200" w:firstLine="560"/>
        <w:rPr>
          <w:rFonts w:ascii="宋体" w:hAnsi="宋体"/>
          <w:sz w:val="28"/>
          <w:szCs w:val="28"/>
        </w:rPr>
      </w:pPr>
      <w:r>
        <w:rPr>
          <w:rFonts w:ascii="宋体" w:hAnsi="宋体" w:hint="eastAsia"/>
          <w:sz w:val="28"/>
          <w:szCs w:val="28"/>
        </w:rPr>
        <w:t>5.</w:t>
      </w:r>
      <w:r w:rsidRPr="00FB6DE1">
        <w:rPr>
          <w:rFonts w:hint="eastAsia"/>
        </w:rPr>
        <w:t xml:space="preserve"> </w:t>
      </w:r>
      <w:r w:rsidRPr="00FB6DE1">
        <w:rPr>
          <w:rFonts w:ascii="宋体" w:hAnsi="宋体" w:hint="eastAsia"/>
          <w:sz w:val="28"/>
          <w:szCs w:val="28"/>
        </w:rPr>
        <w:t>整个供电和照明系统施工完毕后，投标人须配合各家施工单位完成电力系统调试工作和通电调试。</w:t>
      </w:r>
    </w:p>
    <w:p w:rsidR="00FB6DE1" w:rsidRDefault="00FB6DE1" w:rsidP="00FB6DE1">
      <w:pPr>
        <w:numPr>
          <w:ilvl w:val="0"/>
          <w:numId w:val="2"/>
        </w:numPr>
        <w:rPr>
          <w:rFonts w:ascii="宋体" w:hAnsi="宋体"/>
          <w:sz w:val="28"/>
          <w:szCs w:val="28"/>
        </w:rPr>
      </w:pPr>
      <w:r>
        <w:rPr>
          <w:rFonts w:ascii="宋体" w:hAnsi="宋体" w:hint="eastAsia"/>
          <w:sz w:val="28"/>
          <w:szCs w:val="28"/>
        </w:rPr>
        <w:t xml:space="preserve"> 其他相关说明：</w:t>
      </w:r>
    </w:p>
    <w:p w:rsidR="00FB6DE1" w:rsidRDefault="00FB6DE1" w:rsidP="00FB6DE1">
      <w:pPr>
        <w:numPr>
          <w:ilvl w:val="0"/>
          <w:numId w:val="4"/>
        </w:numPr>
        <w:spacing w:line="360" w:lineRule="auto"/>
        <w:rPr>
          <w:rFonts w:ascii="宋体" w:hAnsi="宋体"/>
          <w:sz w:val="28"/>
          <w:szCs w:val="28"/>
        </w:rPr>
      </w:pPr>
      <w:r>
        <w:rPr>
          <w:rFonts w:ascii="宋体" w:hAnsi="Arial" w:cs="宋体" w:hint="eastAsia"/>
          <w:kern w:val="0"/>
          <w:sz w:val="28"/>
          <w:szCs w:val="28"/>
          <w:lang w:val="zh-CN"/>
        </w:rPr>
        <w:t>投标人在投标报价时结合现场实际情况考虑夜间施工及围挡防护安全，结算时不再调整；</w:t>
      </w:r>
    </w:p>
    <w:p w:rsidR="00FB6DE1" w:rsidRDefault="00FB6DE1" w:rsidP="00FB6DE1">
      <w:pPr>
        <w:numPr>
          <w:ilvl w:val="0"/>
          <w:numId w:val="4"/>
        </w:numPr>
        <w:autoSpaceDE w:val="0"/>
        <w:autoSpaceDN w:val="0"/>
        <w:adjustRightInd w:val="0"/>
        <w:spacing w:line="360" w:lineRule="auto"/>
        <w:jc w:val="left"/>
        <w:rPr>
          <w:rFonts w:ascii="宋体" w:hAnsi="Arial" w:cs="宋体"/>
          <w:kern w:val="0"/>
          <w:sz w:val="28"/>
          <w:szCs w:val="28"/>
        </w:rPr>
      </w:pPr>
      <w:r>
        <w:rPr>
          <w:rFonts w:ascii="宋体" w:hAnsi="Arial" w:cs="宋体" w:hint="eastAsia"/>
          <w:kern w:val="0"/>
          <w:sz w:val="28"/>
          <w:szCs w:val="28"/>
          <w:lang w:val="zh-CN"/>
        </w:rPr>
        <w:t>本工程所需报验、报检费用甲方不予承担，投标人自行考虑计入投标报价；</w:t>
      </w:r>
    </w:p>
    <w:p w:rsidR="00FB6DE1" w:rsidRDefault="00FB6DE1" w:rsidP="00FB6DE1">
      <w:pPr>
        <w:numPr>
          <w:ilvl w:val="0"/>
          <w:numId w:val="4"/>
        </w:numPr>
        <w:tabs>
          <w:tab w:val="left" w:pos="426"/>
        </w:tabs>
        <w:autoSpaceDE w:val="0"/>
        <w:autoSpaceDN w:val="0"/>
        <w:adjustRightInd w:val="0"/>
        <w:spacing w:line="360" w:lineRule="auto"/>
        <w:jc w:val="left"/>
        <w:rPr>
          <w:rFonts w:ascii="宋体" w:hAnsi="Arial" w:cs="宋体"/>
          <w:kern w:val="0"/>
          <w:sz w:val="28"/>
          <w:szCs w:val="28"/>
          <w:lang w:val="zh-CN"/>
        </w:rPr>
      </w:pPr>
      <w:r>
        <w:rPr>
          <w:rFonts w:ascii="宋体" w:hAnsi="Arial" w:cs="宋体" w:hint="eastAsia"/>
          <w:kern w:val="0"/>
          <w:sz w:val="28"/>
          <w:szCs w:val="28"/>
          <w:lang w:val="zh-CN"/>
        </w:rPr>
        <w:t>措施费项目投标单位可自行增添内容，自行报价，未计</w:t>
      </w:r>
      <w:proofErr w:type="gramStart"/>
      <w:r>
        <w:rPr>
          <w:rFonts w:ascii="宋体" w:hAnsi="Arial" w:cs="宋体" w:hint="eastAsia"/>
          <w:kern w:val="0"/>
          <w:sz w:val="28"/>
          <w:szCs w:val="28"/>
          <w:lang w:val="zh-CN"/>
        </w:rPr>
        <w:t>放部分</w:t>
      </w:r>
      <w:proofErr w:type="gramEnd"/>
      <w:r>
        <w:rPr>
          <w:rFonts w:ascii="宋体" w:hAnsi="Arial" w:cs="宋体" w:hint="eastAsia"/>
          <w:kern w:val="0"/>
          <w:sz w:val="28"/>
          <w:szCs w:val="28"/>
          <w:lang w:val="zh-CN"/>
        </w:rPr>
        <w:t>按优惠考虑，结算时不再调整，投标人在报价中应充分考虑所涉及的各项措施费及风险因素后再进行报价；</w:t>
      </w:r>
    </w:p>
    <w:p w:rsidR="00FB6DE1" w:rsidRDefault="00FB6DE1" w:rsidP="00FB6DE1">
      <w:pPr>
        <w:numPr>
          <w:ilvl w:val="0"/>
          <w:numId w:val="4"/>
        </w:numPr>
        <w:tabs>
          <w:tab w:val="left" w:pos="426"/>
        </w:tabs>
        <w:autoSpaceDE w:val="0"/>
        <w:autoSpaceDN w:val="0"/>
        <w:adjustRightInd w:val="0"/>
        <w:spacing w:line="360" w:lineRule="auto"/>
        <w:jc w:val="left"/>
        <w:rPr>
          <w:rFonts w:ascii="宋体" w:hAnsi="Arial" w:cs="宋体"/>
          <w:kern w:val="0"/>
          <w:sz w:val="28"/>
          <w:szCs w:val="28"/>
          <w:lang w:val="zh-CN"/>
        </w:rPr>
      </w:pPr>
      <w:r>
        <w:rPr>
          <w:rFonts w:ascii="宋体" w:hAnsi="Arial" w:cs="宋体" w:hint="eastAsia"/>
          <w:kern w:val="0"/>
          <w:sz w:val="28"/>
          <w:szCs w:val="28"/>
          <w:lang w:val="zh-CN"/>
        </w:rPr>
        <w:t>施工现场、交通运输情况及自然地理条件由投标人自行现场勘察，应充分考虑本工程场地现状的特点，可能对工程施工造成的影响并由此增</w:t>
      </w:r>
      <w:r>
        <w:rPr>
          <w:rFonts w:ascii="宋体" w:hAnsi="Arial" w:cs="宋体" w:hint="eastAsia"/>
          <w:kern w:val="0"/>
          <w:sz w:val="28"/>
          <w:szCs w:val="28"/>
          <w:lang w:val="zh-CN"/>
        </w:rPr>
        <w:lastRenderedPageBreak/>
        <w:t>加的费用等，做出</w:t>
      </w:r>
      <w:proofErr w:type="gramStart"/>
      <w:r>
        <w:rPr>
          <w:rFonts w:ascii="宋体" w:hAnsi="Arial" w:cs="宋体" w:hint="eastAsia"/>
          <w:kern w:val="0"/>
          <w:sz w:val="28"/>
          <w:szCs w:val="28"/>
          <w:lang w:val="zh-CN"/>
        </w:rPr>
        <w:t>考量</w:t>
      </w:r>
      <w:proofErr w:type="gramEnd"/>
      <w:r>
        <w:rPr>
          <w:rFonts w:ascii="宋体" w:hAnsi="Arial" w:cs="宋体" w:hint="eastAsia"/>
          <w:kern w:val="0"/>
          <w:sz w:val="28"/>
          <w:szCs w:val="28"/>
          <w:lang w:val="zh-CN"/>
        </w:rPr>
        <w:t>一并考虑在投标报价中；</w:t>
      </w:r>
    </w:p>
    <w:p w:rsidR="00FB6DE1" w:rsidRDefault="00FB6DE1" w:rsidP="00FB6DE1">
      <w:pPr>
        <w:numPr>
          <w:ilvl w:val="0"/>
          <w:numId w:val="4"/>
        </w:numPr>
        <w:tabs>
          <w:tab w:val="left" w:pos="709"/>
        </w:tabs>
        <w:spacing w:line="360" w:lineRule="auto"/>
        <w:rPr>
          <w:rFonts w:ascii="宋体" w:hAnsi="Arial" w:cs="宋体"/>
          <w:kern w:val="0"/>
          <w:sz w:val="28"/>
          <w:szCs w:val="28"/>
          <w:lang w:val="zh-CN"/>
        </w:rPr>
      </w:pPr>
      <w:r>
        <w:rPr>
          <w:rFonts w:ascii="宋体" w:hAnsi="Arial" w:cs="宋体" w:hint="eastAsia"/>
          <w:kern w:val="0"/>
          <w:sz w:val="28"/>
          <w:szCs w:val="28"/>
          <w:lang w:val="zh-CN"/>
        </w:rPr>
        <w:t>工程量清单应与招标文件、招标项目等文件结合起来查阅与理解。工程量清单中所描述的项目特征仅为招标人对该分部分项目工程特征的概述，而非是工程特征的全面描述，报价时必须按施工图纸及相关的国家规范的要求。</w:t>
      </w:r>
    </w:p>
    <w:p w:rsidR="00FB6DE1" w:rsidRDefault="00FB6DE1" w:rsidP="00FB6DE1">
      <w:pPr>
        <w:widowControl/>
        <w:spacing w:line="480" w:lineRule="auto"/>
        <w:jc w:val="left"/>
        <w:rPr>
          <w:rFonts w:ascii="宋体" w:hAnsi="Arial" w:cs="宋体"/>
          <w:kern w:val="0"/>
          <w:sz w:val="28"/>
          <w:szCs w:val="28"/>
          <w:lang w:val="zh-CN"/>
        </w:rPr>
      </w:pPr>
      <w:r>
        <w:rPr>
          <w:rFonts w:ascii="宋体" w:hAnsi="Arial" w:cs="宋体" w:hint="eastAsia"/>
          <w:kern w:val="0"/>
          <w:sz w:val="28"/>
          <w:szCs w:val="28"/>
        </w:rPr>
        <w:t>六</w:t>
      </w:r>
      <w:r>
        <w:rPr>
          <w:rFonts w:ascii="宋体" w:hAnsi="Arial" w:cs="宋体" w:hint="eastAsia"/>
          <w:kern w:val="0"/>
          <w:sz w:val="28"/>
          <w:szCs w:val="28"/>
          <w:lang w:val="zh-CN"/>
        </w:rPr>
        <w:t>、预留金：见其他项目清单。</w:t>
      </w:r>
    </w:p>
    <w:p w:rsidR="00FB6DE1" w:rsidRDefault="00FB6DE1" w:rsidP="00FB6DE1">
      <w:pPr>
        <w:widowControl/>
        <w:spacing w:line="315" w:lineRule="atLeast"/>
        <w:rPr>
          <w:kern w:val="0"/>
          <w:sz w:val="28"/>
          <w:szCs w:val="28"/>
        </w:rPr>
      </w:pPr>
      <w:r>
        <w:rPr>
          <w:rFonts w:ascii="宋体" w:hAnsi="Arial" w:cs="宋体" w:hint="eastAsia"/>
          <w:kern w:val="0"/>
          <w:sz w:val="28"/>
          <w:szCs w:val="28"/>
        </w:rPr>
        <w:t>七</w:t>
      </w:r>
      <w:r>
        <w:rPr>
          <w:rFonts w:ascii="宋体" w:hAnsi="Arial" w:cs="宋体" w:hint="eastAsia"/>
          <w:kern w:val="0"/>
          <w:sz w:val="28"/>
          <w:szCs w:val="28"/>
          <w:lang w:val="zh-CN"/>
        </w:rPr>
        <w:t>、</w:t>
      </w:r>
      <w:r>
        <w:rPr>
          <w:rFonts w:ascii="宋体" w:hAnsi="宋体" w:hint="eastAsia"/>
          <w:kern w:val="0"/>
          <w:sz w:val="28"/>
          <w:szCs w:val="28"/>
        </w:rPr>
        <w:t>材料品牌</w:t>
      </w:r>
    </w:p>
    <w:p w:rsidR="00B47983" w:rsidRPr="004E418D" w:rsidRDefault="00B47983" w:rsidP="00B47983">
      <w:pPr>
        <w:jc w:val="center"/>
        <w:rPr>
          <w:b/>
          <w:bCs/>
          <w:sz w:val="28"/>
          <w:szCs w:val="28"/>
        </w:rPr>
      </w:pPr>
      <w:r w:rsidRPr="004E418D">
        <w:rPr>
          <w:rFonts w:hint="eastAsia"/>
          <w:b/>
          <w:bCs/>
          <w:sz w:val="28"/>
          <w:szCs w:val="28"/>
        </w:rPr>
        <w:t>电气开关品牌及系列选</w:t>
      </w:r>
      <w:bookmarkStart w:id="0" w:name="_GoBack"/>
      <w:bookmarkEnd w:id="0"/>
      <w:r w:rsidRPr="004E418D">
        <w:rPr>
          <w:rFonts w:hint="eastAsia"/>
          <w:b/>
          <w:bCs/>
          <w:sz w:val="28"/>
          <w:szCs w:val="28"/>
        </w:rPr>
        <w:t>择要求</w:t>
      </w:r>
    </w:p>
    <w:tbl>
      <w:tblPr>
        <w:tblW w:w="8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07"/>
        <w:gridCol w:w="2263"/>
        <w:gridCol w:w="1697"/>
        <w:gridCol w:w="1697"/>
        <w:gridCol w:w="2287"/>
      </w:tblGrid>
      <w:tr w:rsidR="00B47983" w:rsidTr="000D7DCE">
        <w:trPr>
          <w:trHeight w:val="517"/>
          <w:jc w:val="center"/>
        </w:trPr>
        <w:tc>
          <w:tcPr>
            <w:tcW w:w="607" w:type="dxa"/>
            <w:tcBorders>
              <w:tl2br w:val="nil"/>
              <w:tr2bl w:val="nil"/>
            </w:tcBorders>
            <w:shd w:val="clear" w:color="auto" w:fill="auto"/>
            <w:noWrap/>
            <w:tcMar>
              <w:top w:w="12" w:type="dxa"/>
              <w:left w:w="12" w:type="dxa"/>
              <w:right w:w="12" w:type="dxa"/>
            </w:tcMar>
            <w:vAlign w:val="center"/>
          </w:tcPr>
          <w:p w:rsidR="00B47983" w:rsidRDefault="00B47983" w:rsidP="00322CC8">
            <w:pPr>
              <w:jc w:val="center"/>
              <w:rPr>
                <w:rFonts w:asciiTheme="minorEastAsia" w:hAnsiTheme="minorEastAsia" w:cstheme="minorEastAsia"/>
                <w:color w:val="000000"/>
                <w:sz w:val="24"/>
              </w:rPr>
            </w:pPr>
            <w:r>
              <w:rPr>
                <w:rFonts w:asciiTheme="minorEastAsia" w:hAnsiTheme="minorEastAsia" w:cstheme="minorEastAsia" w:hint="eastAsia"/>
                <w:color w:val="000000"/>
                <w:sz w:val="24"/>
              </w:rPr>
              <w:t>序号</w:t>
            </w:r>
          </w:p>
        </w:tc>
        <w:tc>
          <w:tcPr>
            <w:tcW w:w="2263" w:type="dxa"/>
            <w:tcBorders>
              <w:tl2br w:val="nil"/>
              <w:tr2bl w:val="nil"/>
            </w:tcBorders>
            <w:shd w:val="clear" w:color="auto" w:fill="auto"/>
            <w:noWrap/>
            <w:tcMar>
              <w:top w:w="12" w:type="dxa"/>
              <w:left w:w="12" w:type="dxa"/>
              <w:right w:w="12" w:type="dxa"/>
            </w:tcMar>
            <w:vAlign w:val="center"/>
          </w:tcPr>
          <w:p w:rsidR="00B47983" w:rsidRDefault="00B47983" w:rsidP="00322CC8">
            <w:pPr>
              <w:jc w:val="center"/>
              <w:rPr>
                <w:rFonts w:asciiTheme="minorEastAsia" w:hAnsiTheme="minorEastAsia" w:cstheme="minorEastAsia"/>
                <w:color w:val="000000"/>
                <w:sz w:val="24"/>
              </w:rPr>
            </w:pPr>
            <w:r>
              <w:rPr>
                <w:rFonts w:asciiTheme="minorEastAsia" w:hAnsiTheme="minorEastAsia" w:cstheme="minorEastAsia" w:hint="eastAsia"/>
                <w:color w:val="000000"/>
                <w:sz w:val="24"/>
              </w:rPr>
              <w:t>元器件名称</w:t>
            </w:r>
          </w:p>
        </w:tc>
        <w:tc>
          <w:tcPr>
            <w:tcW w:w="1697" w:type="dxa"/>
            <w:tcBorders>
              <w:tl2br w:val="nil"/>
              <w:tr2bl w:val="nil"/>
            </w:tcBorders>
            <w:shd w:val="clear" w:color="auto" w:fill="auto"/>
            <w:noWrap/>
            <w:tcMar>
              <w:top w:w="12" w:type="dxa"/>
              <w:left w:w="12" w:type="dxa"/>
              <w:right w:w="12" w:type="dxa"/>
            </w:tcMar>
            <w:vAlign w:val="center"/>
          </w:tcPr>
          <w:p w:rsidR="00B47983" w:rsidRDefault="00B47983" w:rsidP="00322CC8">
            <w:pPr>
              <w:widowControl/>
              <w:jc w:val="center"/>
              <w:textAlignment w:val="bottom"/>
              <w:rPr>
                <w:rFonts w:asciiTheme="minorEastAsia" w:hAnsiTheme="minorEastAsia" w:cstheme="minorEastAsia"/>
                <w:color w:val="000000"/>
                <w:sz w:val="24"/>
              </w:rPr>
            </w:pPr>
            <w:r>
              <w:rPr>
                <w:rFonts w:asciiTheme="minorEastAsia" w:hAnsiTheme="minorEastAsia" w:cstheme="minorEastAsia" w:hint="eastAsia"/>
                <w:color w:val="000000"/>
                <w:kern w:val="0"/>
                <w:sz w:val="24"/>
                <w:lang w:bidi="ar"/>
              </w:rPr>
              <w:t>施耐德</w:t>
            </w:r>
          </w:p>
        </w:tc>
        <w:tc>
          <w:tcPr>
            <w:tcW w:w="1697" w:type="dxa"/>
            <w:tcBorders>
              <w:tl2br w:val="nil"/>
              <w:tr2bl w:val="nil"/>
            </w:tcBorders>
            <w:shd w:val="clear" w:color="auto" w:fill="auto"/>
            <w:noWrap/>
            <w:tcMar>
              <w:top w:w="12" w:type="dxa"/>
              <w:left w:w="12" w:type="dxa"/>
              <w:right w:w="12" w:type="dxa"/>
            </w:tcMar>
            <w:vAlign w:val="center"/>
          </w:tcPr>
          <w:p w:rsidR="00B47983" w:rsidRDefault="00B47983" w:rsidP="00322CC8">
            <w:pPr>
              <w:widowControl/>
              <w:jc w:val="center"/>
              <w:textAlignment w:val="bottom"/>
              <w:rPr>
                <w:rFonts w:asciiTheme="minorEastAsia" w:hAnsiTheme="minorEastAsia" w:cstheme="minorEastAsia"/>
                <w:color w:val="000000"/>
                <w:sz w:val="24"/>
              </w:rPr>
            </w:pPr>
            <w:r>
              <w:rPr>
                <w:rFonts w:asciiTheme="minorEastAsia" w:hAnsiTheme="minorEastAsia" w:cstheme="minorEastAsia" w:hint="eastAsia"/>
                <w:color w:val="000000"/>
                <w:kern w:val="0"/>
                <w:sz w:val="24"/>
                <w:lang w:bidi="ar"/>
              </w:rPr>
              <w:t>ABB</w:t>
            </w:r>
          </w:p>
        </w:tc>
        <w:tc>
          <w:tcPr>
            <w:tcW w:w="2287" w:type="dxa"/>
            <w:tcBorders>
              <w:tl2br w:val="nil"/>
              <w:tr2bl w:val="nil"/>
            </w:tcBorders>
            <w:shd w:val="clear" w:color="auto" w:fill="auto"/>
            <w:noWrap/>
            <w:tcMar>
              <w:top w:w="12" w:type="dxa"/>
              <w:left w:w="12" w:type="dxa"/>
              <w:right w:w="12" w:type="dxa"/>
            </w:tcMar>
            <w:vAlign w:val="center"/>
          </w:tcPr>
          <w:p w:rsidR="00B47983" w:rsidRDefault="00B47983" w:rsidP="00322CC8">
            <w:pPr>
              <w:widowControl/>
              <w:jc w:val="center"/>
              <w:textAlignment w:val="bottom"/>
              <w:rPr>
                <w:rFonts w:asciiTheme="minorEastAsia" w:hAnsiTheme="minorEastAsia" w:cstheme="minorEastAsia"/>
                <w:color w:val="000000"/>
                <w:sz w:val="24"/>
              </w:rPr>
            </w:pPr>
            <w:r>
              <w:rPr>
                <w:rFonts w:asciiTheme="minorEastAsia" w:hAnsiTheme="minorEastAsia" w:cstheme="minorEastAsia" w:hint="eastAsia"/>
                <w:color w:val="000000"/>
                <w:kern w:val="0"/>
                <w:sz w:val="24"/>
                <w:lang w:bidi="ar"/>
              </w:rPr>
              <w:t>西门子</w:t>
            </w:r>
          </w:p>
        </w:tc>
      </w:tr>
      <w:tr w:rsidR="00B47983" w:rsidTr="00322CC8">
        <w:trPr>
          <w:trHeight w:val="459"/>
          <w:jc w:val="center"/>
        </w:trPr>
        <w:tc>
          <w:tcPr>
            <w:tcW w:w="607" w:type="dxa"/>
            <w:tcBorders>
              <w:tl2br w:val="nil"/>
              <w:tr2bl w:val="nil"/>
            </w:tcBorders>
            <w:shd w:val="clear" w:color="auto" w:fill="auto"/>
            <w:noWrap/>
            <w:tcMar>
              <w:top w:w="12" w:type="dxa"/>
              <w:left w:w="12" w:type="dxa"/>
              <w:right w:w="12" w:type="dxa"/>
            </w:tcMar>
            <w:vAlign w:val="center"/>
          </w:tcPr>
          <w:p w:rsidR="00B47983" w:rsidRDefault="00B47983" w:rsidP="00B47983">
            <w:pPr>
              <w:numPr>
                <w:ilvl w:val="0"/>
                <w:numId w:val="5"/>
              </w:numPr>
              <w:jc w:val="center"/>
              <w:rPr>
                <w:rFonts w:asciiTheme="minorEastAsia" w:hAnsiTheme="minorEastAsia" w:cstheme="minorEastAsia"/>
                <w:color w:val="000000"/>
                <w:sz w:val="24"/>
              </w:rPr>
            </w:pPr>
          </w:p>
        </w:tc>
        <w:tc>
          <w:tcPr>
            <w:tcW w:w="2263" w:type="dxa"/>
            <w:tcBorders>
              <w:tl2br w:val="nil"/>
              <w:tr2bl w:val="nil"/>
            </w:tcBorders>
            <w:shd w:val="clear" w:color="auto" w:fill="auto"/>
            <w:noWrap/>
            <w:tcMar>
              <w:top w:w="12" w:type="dxa"/>
              <w:left w:w="12" w:type="dxa"/>
              <w:right w:w="12" w:type="dxa"/>
            </w:tcMar>
            <w:vAlign w:val="center"/>
          </w:tcPr>
          <w:p w:rsidR="00B47983" w:rsidRDefault="00B47983" w:rsidP="00322CC8">
            <w:pPr>
              <w:widowControl/>
              <w:jc w:val="center"/>
              <w:textAlignment w:val="bottom"/>
              <w:rPr>
                <w:rFonts w:asciiTheme="minorEastAsia" w:hAnsiTheme="minorEastAsia" w:cstheme="minorEastAsia"/>
                <w:color w:val="000000"/>
                <w:sz w:val="24"/>
              </w:rPr>
            </w:pPr>
            <w:r>
              <w:rPr>
                <w:rFonts w:asciiTheme="minorEastAsia" w:hAnsiTheme="minorEastAsia" w:cstheme="minorEastAsia" w:hint="eastAsia"/>
                <w:color w:val="000000"/>
                <w:kern w:val="0"/>
                <w:sz w:val="24"/>
                <w:lang w:bidi="ar"/>
              </w:rPr>
              <w:t>真空断路器</w:t>
            </w:r>
          </w:p>
        </w:tc>
        <w:tc>
          <w:tcPr>
            <w:tcW w:w="1697" w:type="dxa"/>
            <w:tcBorders>
              <w:tl2br w:val="nil"/>
              <w:tr2bl w:val="nil"/>
            </w:tcBorders>
            <w:shd w:val="clear" w:color="auto" w:fill="auto"/>
            <w:noWrap/>
            <w:tcMar>
              <w:top w:w="12" w:type="dxa"/>
              <w:left w:w="12" w:type="dxa"/>
              <w:right w:w="12" w:type="dxa"/>
            </w:tcMar>
            <w:vAlign w:val="center"/>
          </w:tcPr>
          <w:p w:rsidR="00B47983" w:rsidRDefault="00B47983" w:rsidP="00322CC8">
            <w:pPr>
              <w:widowControl/>
              <w:jc w:val="center"/>
              <w:textAlignment w:val="bottom"/>
              <w:rPr>
                <w:rFonts w:asciiTheme="minorEastAsia" w:hAnsiTheme="minorEastAsia" w:cstheme="minorEastAsia"/>
                <w:color w:val="000000"/>
                <w:kern w:val="0"/>
                <w:sz w:val="24"/>
                <w:lang w:bidi="ar"/>
              </w:rPr>
            </w:pPr>
            <w:r>
              <w:rPr>
                <w:rFonts w:asciiTheme="minorEastAsia" w:hAnsiTheme="minorEastAsia" w:cstheme="minorEastAsia" w:hint="eastAsia"/>
                <w:color w:val="000000"/>
                <w:kern w:val="0"/>
                <w:sz w:val="24"/>
                <w:lang w:bidi="ar"/>
              </w:rPr>
              <w:t>HVX</w:t>
            </w:r>
          </w:p>
        </w:tc>
        <w:tc>
          <w:tcPr>
            <w:tcW w:w="1697" w:type="dxa"/>
            <w:tcBorders>
              <w:tl2br w:val="nil"/>
              <w:tr2bl w:val="nil"/>
            </w:tcBorders>
            <w:shd w:val="clear" w:color="auto" w:fill="auto"/>
            <w:noWrap/>
            <w:tcMar>
              <w:top w:w="12" w:type="dxa"/>
              <w:left w:w="12" w:type="dxa"/>
              <w:right w:w="12" w:type="dxa"/>
            </w:tcMar>
            <w:vAlign w:val="center"/>
          </w:tcPr>
          <w:p w:rsidR="00B47983" w:rsidRDefault="00B47983" w:rsidP="00322CC8">
            <w:pPr>
              <w:widowControl/>
              <w:jc w:val="center"/>
              <w:textAlignment w:val="bottom"/>
              <w:rPr>
                <w:rFonts w:asciiTheme="minorEastAsia" w:hAnsiTheme="minorEastAsia" w:cstheme="minorEastAsia"/>
                <w:color w:val="000000"/>
                <w:kern w:val="0"/>
                <w:sz w:val="24"/>
                <w:lang w:bidi="ar"/>
              </w:rPr>
            </w:pPr>
            <w:r>
              <w:rPr>
                <w:rFonts w:asciiTheme="minorEastAsia" w:hAnsiTheme="minorEastAsia" w:cstheme="minorEastAsia" w:hint="eastAsia"/>
                <w:color w:val="000000"/>
                <w:kern w:val="0"/>
                <w:sz w:val="24"/>
                <w:lang w:bidi="ar"/>
              </w:rPr>
              <w:t>VD4</w:t>
            </w:r>
          </w:p>
        </w:tc>
        <w:tc>
          <w:tcPr>
            <w:tcW w:w="2287" w:type="dxa"/>
            <w:tcBorders>
              <w:tl2br w:val="nil"/>
              <w:tr2bl w:val="nil"/>
            </w:tcBorders>
            <w:shd w:val="clear" w:color="auto" w:fill="auto"/>
            <w:noWrap/>
            <w:tcMar>
              <w:top w:w="12" w:type="dxa"/>
              <w:left w:w="12" w:type="dxa"/>
              <w:right w:w="12" w:type="dxa"/>
            </w:tcMar>
            <w:vAlign w:val="center"/>
          </w:tcPr>
          <w:p w:rsidR="00B47983" w:rsidRDefault="00B47983" w:rsidP="00322CC8">
            <w:pPr>
              <w:widowControl/>
              <w:jc w:val="center"/>
              <w:textAlignment w:val="bottom"/>
              <w:rPr>
                <w:rFonts w:asciiTheme="minorEastAsia" w:hAnsiTheme="minorEastAsia" w:cstheme="minorEastAsia"/>
                <w:color w:val="000000"/>
                <w:kern w:val="0"/>
                <w:sz w:val="24"/>
                <w:lang w:bidi="ar"/>
              </w:rPr>
            </w:pPr>
            <w:r>
              <w:rPr>
                <w:rFonts w:asciiTheme="minorEastAsia" w:hAnsiTheme="minorEastAsia" w:cstheme="minorEastAsia" w:hint="eastAsia"/>
                <w:color w:val="000000"/>
                <w:kern w:val="0"/>
                <w:sz w:val="24"/>
                <w:lang w:bidi="ar"/>
              </w:rPr>
              <w:t>3AE</w:t>
            </w:r>
          </w:p>
        </w:tc>
      </w:tr>
      <w:tr w:rsidR="00B47983" w:rsidTr="00322CC8">
        <w:trPr>
          <w:trHeight w:val="459"/>
          <w:jc w:val="center"/>
        </w:trPr>
        <w:tc>
          <w:tcPr>
            <w:tcW w:w="607" w:type="dxa"/>
            <w:tcBorders>
              <w:tl2br w:val="nil"/>
              <w:tr2bl w:val="nil"/>
            </w:tcBorders>
            <w:shd w:val="clear" w:color="auto" w:fill="auto"/>
            <w:noWrap/>
            <w:tcMar>
              <w:top w:w="12" w:type="dxa"/>
              <w:left w:w="12" w:type="dxa"/>
              <w:right w:w="12" w:type="dxa"/>
            </w:tcMar>
            <w:vAlign w:val="center"/>
          </w:tcPr>
          <w:p w:rsidR="00B47983" w:rsidRDefault="00B47983" w:rsidP="00B47983">
            <w:pPr>
              <w:widowControl/>
              <w:numPr>
                <w:ilvl w:val="0"/>
                <w:numId w:val="5"/>
              </w:numPr>
              <w:jc w:val="center"/>
              <w:textAlignment w:val="bottom"/>
              <w:rPr>
                <w:rFonts w:asciiTheme="minorEastAsia" w:hAnsiTheme="minorEastAsia" w:cstheme="minorEastAsia"/>
                <w:color w:val="000000"/>
                <w:kern w:val="0"/>
                <w:sz w:val="24"/>
                <w:lang w:bidi="ar"/>
              </w:rPr>
            </w:pPr>
          </w:p>
        </w:tc>
        <w:tc>
          <w:tcPr>
            <w:tcW w:w="2263" w:type="dxa"/>
            <w:tcBorders>
              <w:tl2br w:val="nil"/>
              <w:tr2bl w:val="nil"/>
            </w:tcBorders>
            <w:shd w:val="clear" w:color="auto" w:fill="auto"/>
            <w:noWrap/>
            <w:tcMar>
              <w:top w:w="12" w:type="dxa"/>
              <w:left w:w="12" w:type="dxa"/>
              <w:right w:w="12" w:type="dxa"/>
            </w:tcMar>
            <w:vAlign w:val="center"/>
          </w:tcPr>
          <w:p w:rsidR="00B47983" w:rsidRDefault="00B47983" w:rsidP="00322CC8">
            <w:pPr>
              <w:widowControl/>
              <w:jc w:val="center"/>
              <w:textAlignment w:val="bottom"/>
              <w:rPr>
                <w:rFonts w:asciiTheme="minorEastAsia" w:hAnsiTheme="minorEastAsia" w:cstheme="minorEastAsia"/>
                <w:color w:val="000000"/>
                <w:sz w:val="24"/>
              </w:rPr>
            </w:pPr>
            <w:r>
              <w:rPr>
                <w:rFonts w:asciiTheme="minorEastAsia" w:hAnsiTheme="minorEastAsia" w:cstheme="minorEastAsia" w:hint="eastAsia"/>
                <w:color w:val="000000"/>
                <w:kern w:val="0"/>
                <w:sz w:val="24"/>
                <w:lang w:bidi="ar"/>
              </w:rPr>
              <w:t>框架断路器</w:t>
            </w:r>
          </w:p>
        </w:tc>
        <w:tc>
          <w:tcPr>
            <w:tcW w:w="1697" w:type="dxa"/>
            <w:tcBorders>
              <w:tl2br w:val="nil"/>
              <w:tr2bl w:val="nil"/>
            </w:tcBorders>
            <w:shd w:val="clear" w:color="auto" w:fill="auto"/>
            <w:noWrap/>
            <w:tcMar>
              <w:top w:w="12" w:type="dxa"/>
              <w:left w:w="12" w:type="dxa"/>
              <w:right w:w="12" w:type="dxa"/>
            </w:tcMar>
            <w:vAlign w:val="center"/>
          </w:tcPr>
          <w:p w:rsidR="00B47983" w:rsidRDefault="00B47983" w:rsidP="00322CC8">
            <w:pPr>
              <w:widowControl/>
              <w:jc w:val="center"/>
              <w:textAlignment w:val="bottom"/>
              <w:rPr>
                <w:rFonts w:asciiTheme="minorEastAsia" w:hAnsiTheme="minorEastAsia" w:cstheme="minorEastAsia"/>
                <w:color w:val="000000"/>
                <w:sz w:val="24"/>
              </w:rPr>
            </w:pPr>
            <w:r>
              <w:rPr>
                <w:rFonts w:asciiTheme="minorEastAsia" w:hAnsiTheme="minorEastAsia" w:cstheme="minorEastAsia" w:hint="eastAsia"/>
                <w:color w:val="000000"/>
                <w:kern w:val="0"/>
                <w:sz w:val="24"/>
                <w:lang w:bidi="ar"/>
              </w:rPr>
              <w:t>MTZ/MT</w:t>
            </w:r>
          </w:p>
        </w:tc>
        <w:tc>
          <w:tcPr>
            <w:tcW w:w="1697" w:type="dxa"/>
            <w:tcBorders>
              <w:tl2br w:val="nil"/>
              <w:tr2bl w:val="nil"/>
            </w:tcBorders>
            <w:shd w:val="clear" w:color="auto" w:fill="auto"/>
            <w:noWrap/>
            <w:tcMar>
              <w:top w:w="12" w:type="dxa"/>
              <w:left w:w="12" w:type="dxa"/>
              <w:right w:w="12" w:type="dxa"/>
            </w:tcMar>
            <w:vAlign w:val="center"/>
          </w:tcPr>
          <w:p w:rsidR="00B47983" w:rsidRDefault="00B47983" w:rsidP="00322CC8">
            <w:pPr>
              <w:widowControl/>
              <w:jc w:val="center"/>
              <w:textAlignment w:val="bottom"/>
              <w:rPr>
                <w:rFonts w:asciiTheme="minorEastAsia" w:hAnsiTheme="minorEastAsia" w:cstheme="minorEastAsia"/>
                <w:color w:val="000000"/>
                <w:sz w:val="24"/>
              </w:rPr>
            </w:pPr>
            <w:r>
              <w:rPr>
                <w:rFonts w:asciiTheme="minorEastAsia" w:hAnsiTheme="minorEastAsia" w:cstheme="minorEastAsia" w:hint="eastAsia"/>
                <w:color w:val="000000"/>
                <w:kern w:val="0"/>
                <w:sz w:val="24"/>
                <w:lang w:bidi="ar"/>
              </w:rPr>
              <w:t>Emax2</w:t>
            </w:r>
          </w:p>
        </w:tc>
        <w:tc>
          <w:tcPr>
            <w:tcW w:w="2287" w:type="dxa"/>
            <w:tcBorders>
              <w:tl2br w:val="nil"/>
              <w:tr2bl w:val="nil"/>
            </w:tcBorders>
            <w:shd w:val="clear" w:color="auto" w:fill="auto"/>
            <w:noWrap/>
            <w:tcMar>
              <w:top w:w="12" w:type="dxa"/>
              <w:left w:w="12" w:type="dxa"/>
              <w:right w:w="12" w:type="dxa"/>
            </w:tcMar>
            <w:vAlign w:val="center"/>
          </w:tcPr>
          <w:p w:rsidR="00B47983" w:rsidRDefault="00B47983" w:rsidP="00322CC8">
            <w:pPr>
              <w:widowControl/>
              <w:jc w:val="center"/>
              <w:textAlignment w:val="bottom"/>
              <w:rPr>
                <w:rFonts w:asciiTheme="minorEastAsia" w:hAnsiTheme="minorEastAsia" w:cstheme="minorEastAsia"/>
                <w:color w:val="000000"/>
                <w:sz w:val="24"/>
              </w:rPr>
            </w:pPr>
            <w:r>
              <w:rPr>
                <w:rFonts w:asciiTheme="minorEastAsia" w:hAnsiTheme="minorEastAsia" w:cstheme="minorEastAsia" w:hint="eastAsia"/>
                <w:color w:val="000000"/>
                <w:kern w:val="0"/>
                <w:sz w:val="24"/>
                <w:lang w:bidi="ar"/>
              </w:rPr>
              <w:t>3WL</w:t>
            </w:r>
          </w:p>
        </w:tc>
      </w:tr>
      <w:tr w:rsidR="00B47983" w:rsidTr="00322CC8">
        <w:trPr>
          <w:trHeight w:val="459"/>
          <w:jc w:val="center"/>
        </w:trPr>
        <w:tc>
          <w:tcPr>
            <w:tcW w:w="607" w:type="dxa"/>
            <w:tcBorders>
              <w:tl2br w:val="nil"/>
              <w:tr2bl w:val="nil"/>
            </w:tcBorders>
            <w:shd w:val="clear" w:color="auto" w:fill="auto"/>
            <w:noWrap/>
            <w:tcMar>
              <w:top w:w="12" w:type="dxa"/>
              <w:left w:w="12" w:type="dxa"/>
              <w:right w:w="12" w:type="dxa"/>
            </w:tcMar>
            <w:vAlign w:val="center"/>
          </w:tcPr>
          <w:p w:rsidR="00B47983" w:rsidRDefault="00B47983" w:rsidP="00B47983">
            <w:pPr>
              <w:widowControl/>
              <w:numPr>
                <w:ilvl w:val="0"/>
                <w:numId w:val="5"/>
              </w:numPr>
              <w:jc w:val="center"/>
              <w:textAlignment w:val="bottom"/>
              <w:rPr>
                <w:rFonts w:asciiTheme="minorEastAsia" w:hAnsiTheme="minorEastAsia" w:cstheme="minorEastAsia"/>
                <w:color w:val="000000"/>
                <w:kern w:val="0"/>
                <w:sz w:val="24"/>
                <w:lang w:bidi="ar"/>
              </w:rPr>
            </w:pPr>
          </w:p>
        </w:tc>
        <w:tc>
          <w:tcPr>
            <w:tcW w:w="2263" w:type="dxa"/>
            <w:tcBorders>
              <w:tl2br w:val="nil"/>
              <w:tr2bl w:val="nil"/>
            </w:tcBorders>
            <w:shd w:val="clear" w:color="auto" w:fill="auto"/>
            <w:noWrap/>
            <w:tcMar>
              <w:top w:w="12" w:type="dxa"/>
              <w:left w:w="12" w:type="dxa"/>
              <w:right w:w="12" w:type="dxa"/>
            </w:tcMar>
            <w:vAlign w:val="center"/>
          </w:tcPr>
          <w:p w:rsidR="00B47983" w:rsidRDefault="00B47983" w:rsidP="00322CC8">
            <w:pPr>
              <w:widowControl/>
              <w:jc w:val="center"/>
              <w:textAlignment w:val="bottom"/>
              <w:rPr>
                <w:rFonts w:asciiTheme="minorEastAsia" w:hAnsiTheme="minorEastAsia" w:cstheme="minorEastAsia"/>
                <w:color w:val="000000"/>
                <w:sz w:val="24"/>
              </w:rPr>
            </w:pPr>
            <w:r>
              <w:rPr>
                <w:rFonts w:asciiTheme="minorEastAsia" w:hAnsiTheme="minorEastAsia" w:cstheme="minorEastAsia" w:hint="eastAsia"/>
                <w:color w:val="000000"/>
                <w:kern w:val="0"/>
                <w:sz w:val="24"/>
                <w:lang w:bidi="ar"/>
              </w:rPr>
              <w:t>塑壳断路器</w:t>
            </w:r>
          </w:p>
        </w:tc>
        <w:tc>
          <w:tcPr>
            <w:tcW w:w="1697" w:type="dxa"/>
            <w:tcBorders>
              <w:tl2br w:val="nil"/>
              <w:tr2bl w:val="nil"/>
            </w:tcBorders>
            <w:shd w:val="clear" w:color="auto" w:fill="auto"/>
            <w:noWrap/>
            <w:tcMar>
              <w:top w:w="12" w:type="dxa"/>
              <w:left w:w="12" w:type="dxa"/>
              <w:right w:w="12" w:type="dxa"/>
            </w:tcMar>
            <w:vAlign w:val="center"/>
          </w:tcPr>
          <w:p w:rsidR="00B47983" w:rsidRDefault="00B47983" w:rsidP="00322CC8">
            <w:pPr>
              <w:widowControl/>
              <w:jc w:val="center"/>
              <w:textAlignment w:val="bottom"/>
              <w:rPr>
                <w:rFonts w:asciiTheme="minorEastAsia" w:hAnsiTheme="minorEastAsia" w:cstheme="minorEastAsia"/>
                <w:color w:val="000000"/>
                <w:sz w:val="24"/>
              </w:rPr>
            </w:pPr>
            <w:r>
              <w:rPr>
                <w:rFonts w:asciiTheme="minorEastAsia" w:hAnsiTheme="minorEastAsia" w:cstheme="minorEastAsia" w:hint="eastAsia"/>
                <w:color w:val="000000"/>
                <w:kern w:val="0"/>
                <w:sz w:val="24"/>
                <w:lang w:bidi="ar"/>
              </w:rPr>
              <w:t>NSX</w:t>
            </w:r>
          </w:p>
        </w:tc>
        <w:tc>
          <w:tcPr>
            <w:tcW w:w="1697" w:type="dxa"/>
            <w:tcBorders>
              <w:tl2br w:val="nil"/>
              <w:tr2bl w:val="nil"/>
            </w:tcBorders>
            <w:shd w:val="clear" w:color="auto" w:fill="auto"/>
            <w:noWrap/>
            <w:tcMar>
              <w:top w:w="12" w:type="dxa"/>
              <w:left w:w="12" w:type="dxa"/>
              <w:right w:w="12" w:type="dxa"/>
            </w:tcMar>
            <w:vAlign w:val="center"/>
          </w:tcPr>
          <w:p w:rsidR="00B47983" w:rsidRDefault="00B47983" w:rsidP="00322CC8">
            <w:pPr>
              <w:widowControl/>
              <w:jc w:val="center"/>
              <w:textAlignment w:val="bottom"/>
              <w:rPr>
                <w:rFonts w:asciiTheme="minorEastAsia" w:hAnsiTheme="minorEastAsia" w:cstheme="minorEastAsia"/>
                <w:color w:val="000000"/>
                <w:sz w:val="24"/>
              </w:rPr>
            </w:pPr>
            <w:proofErr w:type="spellStart"/>
            <w:r>
              <w:rPr>
                <w:rFonts w:asciiTheme="minorEastAsia" w:hAnsiTheme="minorEastAsia" w:cstheme="minorEastAsia" w:hint="eastAsia"/>
                <w:color w:val="000000"/>
                <w:kern w:val="0"/>
                <w:sz w:val="24"/>
                <w:lang w:bidi="ar"/>
              </w:rPr>
              <w:t>Tmax</w:t>
            </w:r>
            <w:proofErr w:type="spellEnd"/>
            <w:r>
              <w:rPr>
                <w:rFonts w:asciiTheme="minorEastAsia" w:hAnsiTheme="minorEastAsia" w:cstheme="minorEastAsia" w:hint="eastAsia"/>
                <w:color w:val="000000"/>
                <w:kern w:val="0"/>
                <w:sz w:val="24"/>
                <w:lang w:bidi="ar"/>
              </w:rPr>
              <w:t>/XT</w:t>
            </w:r>
          </w:p>
        </w:tc>
        <w:tc>
          <w:tcPr>
            <w:tcW w:w="2287" w:type="dxa"/>
            <w:tcBorders>
              <w:tl2br w:val="nil"/>
              <w:tr2bl w:val="nil"/>
            </w:tcBorders>
            <w:shd w:val="clear" w:color="auto" w:fill="auto"/>
            <w:noWrap/>
            <w:tcMar>
              <w:top w:w="12" w:type="dxa"/>
              <w:left w:w="12" w:type="dxa"/>
              <w:right w:w="12" w:type="dxa"/>
            </w:tcMar>
            <w:vAlign w:val="center"/>
          </w:tcPr>
          <w:p w:rsidR="00B47983" w:rsidRDefault="00B47983" w:rsidP="00322CC8">
            <w:pPr>
              <w:widowControl/>
              <w:jc w:val="center"/>
              <w:textAlignment w:val="bottom"/>
              <w:rPr>
                <w:rFonts w:asciiTheme="minorEastAsia" w:hAnsiTheme="minorEastAsia" w:cstheme="minorEastAsia"/>
                <w:color w:val="000000"/>
                <w:sz w:val="24"/>
              </w:rPr>
            </w:pPr>
            <w:r>
              <w:rPr>
                <w:rFonts w:asciiTheme="minorEastAsia" w:hAnsiTheme="minorEastAsia" w:cstheme="minorEastAsia" w:hint="eastAsia"/>
                <w:color w:val="000000"/>
                <w:kern w:val="0"/>
                <w:sz w:val="24"/>
                <w:lang w:bidi="ar"/>
              </w:rPr>
              <w:t>3VA</w:t>
            </w:r>
          </w:p>
        </w:tc>
      </w:tr>
      <w:tr w:rsidR="00B47983" w:rsidTr="00322CC8">
        <w:trPr>
          <w:trHeight w:val="459"/>
          <w:jc w:val="center"/>
        </w:trPr>
        <w:tc>
          <w:tcPr>
            <w:tcW w:w="607" w:type="dxa"/>
            <w:tcBorders>
              <w:tl2br w:val="nil"/>
              <w:tr2bl w:val="nil"/>
            </w:tcBorders>
            <w:shd w:val="clear" w:color="auto" w:fill="auto"/>
            <w:noWrap/>
            <w:tcMar>
              <w:top w:w="12" w:type="dxa"/>
              <w:left w:w="12" w:type="dxa"/>
              <w:right w:w="12" w:type="dxa"/>
            </w:tcMar>
            <w:vAlign w:val="center"/>
          </w:tcPr>
          <w:p w:rsidR="00B47983" w:rsidRDefault="00B47983" w:rsidP="00B47983">
            <w:pPr>
              <w:widowControl/>
              <w:numPr>
                <w:ilvl w:val="0"/>
                <w:numId w:val="5"/>
              </w:numPr>
              <w:jc w:val="center"/>
              <w:textAlignment w:val="bottom"/>
              <w:rPr>
                <w:rFonts w:asciiTheme="minorEastAsia" w:hAnsiTheme="minorEastAsia" w:cstheme="minorEastAsia"/>
                <w:color w:val="000000"/>
                <w:kern w:val="0"/>
                <w:sz w:val="24"/>
                <w:lang w:bidi="ar"/>
              </w:rPr>
            </w:pPr>
          </w:p>
        </w:tc>
        <w:tc>
          <w:tcPr>
            <w:tcW w:w="2263" w:type="dxa"/>
            <w:tcBorders>
              <w:tl2br w:val="nil"/>
              <w:tr2bl w:val="nil"/>
            </w:tcBorders>
            <w:shd w:val="clear" w:color="auto" w:fill="auto"/>
            <w:noWrap/>
            <w:tcMar>
              <w:top w:w="12" w:type="dxa"/>
              <w:left w:w="12" w:type="dxa"/>
              <w:right w:w="12" w:type="dxa"/>
            </w:tcMar>
            <w:vAlign w:val="center"/>
          </w:tcPr>
          <w:p w:rsidR="00B47983" w:rsidRDefault="00B47983" w:rsidP="00322CC8">
            <w:pPr>
              <w:widowControl/>
              <w:jc w:val="center"/>
              <w:textAlignment w:val="bottom"/>
              <w:rPr>
                <w:rFonts w:asciiTheme="minorEastAsia" w:hAnsiTheme="minorEastAsia" w:cstheme="minorEastAsia"/>
                <w:color w:val="000000"/>
                <w:sz w:val="24"/>
              </w:rPr>
            </w:pPr>
            <w:r>
              <w:rPr>
                <w:rFonts w:asciiTheme="minorEastAsia" w:hAnsiTheme="minorEastAsia" w:cstheme="minorEastAsia" w:hint="eastAsia"/>
                <w:color w:val="000000"/>
                <w:kern w:val="0"/>
                <w:sz w:val="24"/>
                <w:lang w:bidi="ar"/>
              </w:rPr>
              <w:t>微型断路器</w:t>
            </w:r>
          </w:p>
        </w:tc>
        <w:tc>
          <w:tcPr>
            <w:tcW w:w="1697" w:type="dxa"/>
            <w:tcBorders>
              <w:tl2br w:val="nil"/>
              <w:tr2bl w:val="nil"/>
            </w:tcBorders>
            <w:shd w:val="clear" w:color="auto" w:fill="auto"/>
            <w:noWrap/>
            <w:tcMar>
              <w:top w:w="12" w:type="dxa"/>
              <w:left w:w="12" w:type="dxa"/>
              <w:right w:w="12" w:type="dxa"/>
            </w:tcMar>
            <w:vAlign w:val="center"/>
          </w:tcPr>
          <w:p w:rsidR="00B47983" w:rsidRDefault="00B47983" w:rsidP="00322CC8">
            <w:pPr>
              <w:widowControl/>
              <w:jc w:val="center"/>
              <w:textAlignment w:val="bottom"/>
              <w:rPr>
                <w:rFonts w:asciiTheme="minorEastAsia" w:hAnsiTheme="minorEastAsia" w:cstheme="minorEastAsia"/>
                <w:color w:val="000000"/>
                <w:sz w:val="24"/>
              </w:rPr>
            </w:pPr>
            <w:r>
              <w:rPr>
                <w:rFonts w:asciiTheme="minorEastAsia" w:hAnsiTheme="minorEastAsia" w:cstheme="minorEastAsia" w:hint="eastAsia"/>
                <w:color w:val="000000"/>
                <w:kern w:val="0"/>
                <w:sz w:val="24"/>
                <w:lang w:bidi="ar"/>
              </w:rPr>
              <w:t>Acti9</w:t>
            </w:r>
          </w:p>
        </w:tc>
        <w:tc>
          <w:tcPr>
            <w:tcW w:w="1697" w:type="dxa"/>
            <w:tcBorders>
              <w:tl2br w:val="nil"/>
              <w:tr2bl w:val="nil"/>
            </w:tcBorders>
            <w:shd w:val="clear" w:color="auto" w:fill="auto"/>
            <w:noWrap/>
            <w:tcMar>
              <w:top w:w="12" w:type="dxa"/>
              <w:left w:w="12" w:type="dxa"/>
              <w:right w:w="12" w:type="dxa"/>
            </w:tcMar>
            <w:vAlign w:val="center"/>
          </w:tcPr>
          <w:p w:rsidR="00B47983" w:rsidRDefault="00B47983" w:rsidP="00322CC8">
            <w:pPr>
              <w:widowControl/>
              <w:jc w:val="center"/>
              <w:textAlignment w:val="bottom"/>
              <w:rPr>
                <w:rFonts w:asciiTheme="minorEastAsia" w:hAnsiTheme="minorEastAsia" w:cstheme="minorEastAsia"/>
                <w:color w:val="000000"/>
                <w:sz w:val="24"/>
              </w:rPr>
            </w:pPr>
            <w:r>
              <w:rPr>
                <w:rFonts w:asciiTheme="minorEastAsia" w:hAnsiTheme="minorEastAsia" w:cstheme="minorEastAsia" w:hint="eastAsia"/>
                <w:color w:val="000000"/>
                <w:kern w:val="0"/>
                <w:sz w:val="24"/>
                <w:lang w:bidi="ar"/>
              </w:rPr>
              <w:t>S200</w:t>
            </w:r>
          </w:p>
        </w:tc>
        <w:tc>
          <w:tcPr>
            <w:tcW w:w="2287" w:type="dxa"/>
            <w:tcBorders>
              <w:tl2br w:val="nil"/>
              <w:tr2bl w:val="nil"/>
            </w:tcBorders>
            <w:shd w:val="clear" w:color="auto" w:fill="auto"/>
            <w:noWrap/>
            <w:tcMar>
              <w:top w:w="12" w:type="dxa"/>
              <w:left w:w="12" w:type="dxa"/>
              <w:right w:w="12" w:type="dxa"/>
            </w:tcMar>
            <w:vAlign w:val="center"/>
          </w:tcPr>
          <w:p w:rsidR="00B47983" w:rsidRDefault="00B47983" w:rsidP="00322CC8">
            <w:pPr>
              <w:widowControl/>
              <w:jc w:val="center"/>
              <w:textAlignment w:val="bottom"/>
              <w:rPr>
                <w:rFonts w:asciiTheme="minorEastAsia" w:hAnsiTheme="minorEastAsia" w:cstheme="minorEastAsia"/>
                <w:color w:val="000000"/>
                <w:sz w:val="24"/>
              </w:rPr>
            </w:pPr>
            <w:r>
              <w:rPr>
                <w:rFonts w:asciiTheme="minorEastAsia" w:hAnsiTheme="minorEastAsia" w:cstheme="minorEastAsia" w:hint="eastAsia"/>
                <w:color w:val="000000"/>
                <w:kern w:val="0"/>
                <w:sz w:val="24"/>
                <w:lang w:bidi="ar"/>
              </w:rPr>
              <w:t>5SY</w:t>
            </w:r>
          </w:p>
        </w:tc>
      </w:tr>
      <w:tr w:rsidR="00B47983" w:rsidTr="00322CC8">
        <w:trPr>
          <w:trHeight w:val="459"/>
          <w:jc w:val="center"/>
        </w:trPr>
        <w:tc>
          <w:tcPr>
            <w:tcW w:w="607" w:type="dxa"/>
            <w:tcBorders>
              <w:tl2br w:val="nil"/>
              <w:tr2bl w:val="nil"/>
            </w:tcBorders>
            <w:shd w:val="clear" w:color="auto" w:fill="auto"/>
            <w:noWrap/>
            <w:tcMar>
              <w:top w:w="12" w:type="dxa"/>
              <w:left w:w="12" w:type="dxa"/>
              <w:right w:w="12" w:type="dxa"/>
            </w:tcMar>
            <w:vAlign w:val="center"/>
          </w:tcPr>
          <w:p w:rsidR="00B47983" w:rsidRDefault="00B47983" w:rsidP="00B47983">
            <w:pPr>
              <w:widowControl/>
              <w:numPr>
                <w:ilvl w:val="0"/>
                <w:numId w:val="5"/>
              </w:numPr>
              <w:jc w:val="center"/>
              <w:textAlignment w:val="bottom"/>
              <w:rPr>
                <w:rFonts w:asciiTheme="minorEastAsia" w:hAnsiTheme="minorEastAsia" w:cstheme="minorEastAsia"/>
                <w:color w:val="000000"/>
                <w:kern w:val="0"/>
                <w:sz w:val="24"/>
                <w:lang w:bidi="ar"/>
              </w:rPr>
            </w:pPr>
          </w:p>
        </w:tc>
        <w:tc>
          <w:tcPr>
            <w:tcW w:w="2263" w:type="dxa"/>
            <w:tcBorders>
              <w:tl2br w:val="nil"/>
              <w:tr2bl w:val="nil"/>
            </w:tcBorders>
            <w:shd w:val="clear" w:color="auto" w:fill="auto"/>
            <w:noWrap/>
            <w:tcMar>
              <w:top w:w="12" w:type="dxa"/>
              <w:left w:w="12" w:type="dxa"/>
              <w:right w:w="12" w:type="dxa"/>
            </w:tcMar>
            <w:vAlign w:val="center"/>
          </w:tcPr>
          <w:p w:rsidR="00B47983" w:rsidRDefault="00B47983" w:rsidP="00322CC8">
            <w:pPr>
              <w:widowControl/>
              <w:jc w:val="center"/>
              <w:textAlignment w:val="bottom"/>
              <w:rPr>
                <w:rFonts w:asciiTheme="minorEastAsia" w:hAnsiTheme="minorEastAsia" w:cstheme="minorEastAsia"/>
                <w:color w:val="000000"/>
                <w:kern w:val="0"/>
                <w:sz w:val="24"/>
                <w:lang w:bidi="ar"/>
              </w:rPr>
            </w:pPr>
            <w:r>
              <w:rPr>
                <w:rFonts w:asciiTheme="minorEastAsia" w:hAnsiTheme="minorEastAsia" w:cstheme="minorEastAsia" w:hint="eastAsia"/>
                <w:color w:val="000000"/>
                <w:kern w:val="0"/>
                <w:sz w:val="24"/>
                <w:lang w:bidi="ar"/>
              </w:rPr>
              <w:t>双电源切换开关</w:t>
            </w:r>
          </w:p>
        </w:tc>
        <w:tc>
          <w:tcPr>
            <w:tcW w:w="1697" w:type="dxa"/>
            <w:tcBorders>
              <w:tl2br w:val="nil"/>
              <w:tr2bl w:val="nil"/>
            </w:tcBorders>
            <w:shd w:val="clear" w:color="auto" w:fill="auto"/>
            <w:noWrap/>
            <w:tcMar>
              <w:top w:w="12" w:type="dxa"/>
              <w:left w:w="12" w:type="dxa"/>
              <w:right w:w="12" w:type="dxa"/>
            </w:tcMar>
            <w:vAlign w:val="center"/>
          </w:tcPr>
          <w:p w:rsidR="00B47983" w:rsidRDefault="00B47983" w:rsidP="00322CC8">
            <w:pPr>
              <w:widowControl/>
              <w:jc w:val="center"/>
              <w:textAlignment w:val="bottom"/>
              <w:rPr>
                <w:rFonts w:asciiTheme="minorEastAsia" w:hAnsiTheme="minorEastAsia" w:cstheme="minorEastAsia"/>
                <w:color w:val="000000"/>
                <w:kern w:val="0"/>
                <w:sz w:val="24"/>
                <w:lang w:bidi="ar"/>
              </w:rPr>
            </w:pPr>
            <w:r>
              <w:rPr>
                <w:rFonts w:asciiTheme="minorEastAsia" w:hAnsiTheme="minorEastAsia" w:cstheme="minorEastAsia" w:hint="eastAsia"/>
                <w:color w:val="000000"/>
                <w:kern w:val="0"/>
                <w:sz w:val="24"/>
                <w:lang w:bidi="ar"/>
              </w:rPr>
              <w:t>WTS</w:t>
            </w:r>
          </w:p>
        </w:tc>
        <w:tc>
          <w:tcPr>
            <w:tcW w:w="1697" w:type="dxa"/>
            <w:tcBorders>
              <w:tl2br w:val="nil"/>
              <w:tr2bl w:val="nil"/>
            </w:tcBorders>
            <w:shd w:val="clear" w:color="auto" w:fill="auto"/>
            <w:noWrap/>
            <w:tcMar>
              <w:top w:w="12" w:type="dxa"/>
              <w:left w:w="12" w:type="dxa"/>
              <w:right w:w="12" w:type="dxa"/>
            </w:tcMar>
            <w:vAlign w:val="center"/>
          </w:tcPr>
          <w:p w:rsidR="00B47983" w:rsidRDefault="00B47983" w:rsidP="00322CC8">
            <w:pPr>
              <w:widowControl/>
              <w:jc w:val="center"/>
              <w:textAlignment w:val="bottom"/>
              <w:rPr>
                <w:rFonts w:asciiTheme="minorEastAsia" w:hAnsiTheme="minorEastAsia" w:cstheme="minorEastAsia"/>
                <w:color w:val="000000"/>
                <w:kern w:val="0"/>
                <w:sz w:val="24"/>
                <w:lang w:bidi="ar"/>
              </w:rPr>
            </w:pPr>
            <w:r>
              <w:rPr>
                <w:rFonts w:asciiTheme="minorEastAsia" w:hAnsiTheme="minorEastAsia" w:cstheme="minorEastAsia" w:hint="eastAsia"/>
                <w:color w:val="000000"/>
                <w:kern w:val="0"/>
                <w:sz w:val="24"/>
                <w:lang w:bidi="ar"/>
              </w:rPr>
              <w:t>OTM8D</w:t>
            </w:r>
          </w:p>
        </w:tc>
        <w:tc>
          <w:tcPr>
            <w:tcW w:w="2287" w:type="dxa"/>
            <w:tcBorders>
              <w:tl2br w:val="nil"/>
              <w:tr2bl w:val="nil"/>
            </w:tcBorders>
            <w:shd w:val="clear" w:color="auto" w:fill="auto"/>
            <w:noWrap/>
            <w:tcMar>
              <w:top w:w="12" w:type="dxa"/>
              <w:left w:w="12" w:type="dxa"/>
              <w:right w:w="12" w:type="dxa"/>
            </w:tcMar>
            <w:vAlign w:val="center"/>
          </w:tcPr>
          <w:p w:rsidR="00B47983" w:rsidRDefault="00B47983" w:rsidP="00322CC8">
            <w:pPr>
              <w:widowControl/>
              <w:jc w:val="center"/>
              <w:textAlignment w:val="bottom"/>
              <w:rPr>
                <w:rFonts w:asciiTheme="minorEastAsia" w:hAnsiTheme="minorEastAsia" w:cstheme="minorEastAsia"/>
                <w:color w:val="000000"/>
                <w:kern w:val="0"/>
                <w:sz w:val="24"/>
                <w:lang w:bidi="ar"/>
              </w:rPr>
            </w:pPr>
            <w:r>
              <w:rPr>
                <w:rFonts w:asciiTheme="minorEastAsia" w:hAnsiTheme="minorEastAsia" w:cstheme="minorEastAsia" w:hint="eastAsia"/>
                <w:color w:val="000000"/>
                <w:kern w:val="0"/>
                <w:sz w:val="24"/>
                <w:lang w:bidi="ar"/>
              </w:rPr>
              <w:t>5TR2/3KC</w:t>
            </w:r>
          </w:p>
        </w:tc>
      </w:tr>
      <w:tr w:rsidR="00B47983" w:rsidTr="00322CC8">
        <w:trPr>
          <w:trHeight w:val="459"/>
          <w:jc w:val="center"/>
        </w:trPr>
        <w:tc>
          <w:tcPr>
            <w:tcW w:w="607" w:type="dxa"/>
            <w:tcBorders>
              <w:tl2br w:val="nil"/>
              <w:tr2bl w:val="nil"/>
            </w:tcBorders>
            <w:shd w:val="clear" w:color="auto" w:fill="auto"/>
            <w:noWrap/>
            <w:tcMar>
              <w:top w:w="12" w:type="dxa"/>
              <w:left w:w="12" w:type="dxa"/>
              <w:right w:w="12" w:type="dxa"/>
            </w:tcMar>
            <w:vAlign w:val="center"/>
          </w:tcPr>
          <w:p w:rsidR="00B47983" w:rsidRDefault="00B47983" w:rsidP="00B47983">
            <w:pPr>
              <w:widowControl/>
              <w:numPr>
                <w:ilvl w:val="0"/>
                <w:numId w:val="5"/>
              </w:numPr>
              <w:jc w:val="center"/>
              <w:textAlignment w:val="bottom"/>
              <w:rPr>
                <w:rFonts w:asciiTheme="minorEastAsia" w:hAnsiTheme="minorEastAsia" w:cstheme="minorEastAsia"/>
                <w:color w:val="000000"/>
                <w:kern w:val="0"/>
                <w:sz w:val="24"/>
                <w:lang w:bidi="ar"/>
              </w:rPr>
            </w:pPr>
          </w:p>
        </w:tc>
        <w:tc>
          <w:tcPr>
            <w:tcW w:w="2263" w:type="dxa"/>
            <w:tcBorders>
              <w:tl2br w:val="nil"/>
              <w:tr2bl w:val="nil"/>
            </w:tcBorders>
            <w:shd w:val="clear" w:color="auto" w:fill="auto"/>
            <w:noWrap/>
            <w:tcMar>
              <w:top w:w="12" w:type="dxa"/>
              <w:left w:w="12" w:type="dxa"/>
              <w:right w:w="12" w:type="dxa"/>
            </w:tcMar>
            <w:vAlign w:val="center"/>
          </w:tcPr>
          <w:p w:rsidR="00B47983" w:rsidRDefault="00B47983" w:rsidP="00322CC8">
            <w:pPr>
              <w:widowControl/>
              <w:jc w:val="center"/>
              <w:textAlignment w:val="bottom"/>
              <w:rPr>
                <w:rFonts w:asciiTheme="minorEastAsia" w:hAnsiTheme="minorEastAsia" w:cstheme="minorEastAsia"/>
                <w:color w:val="000000"/>
                <w:sz w:val="24"/>
              </w:rPr>
            </w:pPr>
            <w:r>
              <w:rPr>
                <w:rFonts w:asciiTheme="minorEastAsia" w:hAnsiTheme="minorEastAsia" w:cstheme="minorEastAsia" w:hint="eastAsia"/>
                <w:color w:val="000000"/>
                <w:sz w:val="24"/>
              </w:rPr>
              <w:t>交流接触器</w:t>
            </w:r>
          </w:p>
        </w:tc>
        <w:tc>
          <w:tcPr>
            <w:tcW w:w="1697" w:type="dxa"/>
            <w:tcBorders>
              <w:tl2br w:val="nil"/>
              <w:tr2bl w:val="nil"/>
            </w:tcBorders>
            <w:shd w:val="clear" w:color="auto" w:fill="auto"/>
            <w:noWrap/>
            <w:tcMar>
              <w:top w:w="12" w:type="dxa"/>
              <w:left w:w="12" w:type="dxa"/>
              <w:right w:w="12" w:type="dxa"/>
            </w:tcMar>
            <w:vAlign w:val="center"/>
          </w:tcPr>
          <w:p w:rsidR="00B47983" w:rsidRDefault="00B47983" w:rsidP="00322CC8">
            <w:pPr>
              <w:widowControl/>
              <w:jc w:val="center"/>
              <w:textAlignment w:val="bottom"/>
              <w:rPr>
                <w:rFonts w:asciiTheme="minorEastAsia" w:hAnsiTheme="minorEastAsia" w:cstheme="minorEastAsia"/>
                <w:color w:val="000000"/>
                <w:sz w:val="24"/>
              </w:rPr>
            </w:pPr>
            <w:r>
              <w:rPr>
                <w:rFonts w:asciiTheme="minorEastAsia" w:hAnsiTheme="minorEastAsia" w:cstheme="minorEastAsia" w:hint="eastAsia"/>
                <w:color w:val="000000"/>
                <w:sz w:val="24"/>
              </w:rPr>
              <w:t>LC1</w:t>
            </w:r>
          </w:p>
        </w:tc>
        <w:tc>
          <w:tcPr>
            <w:tcW w:w="1697" w:type="dxa"/>
            <w:tcBorders>
              <w:tl2br w:val="nil"/>
              <w:tr2bl w:val="nil"/>
            </w:tcBorders>
            <w:shd w:val="clear" w:color="auto" w:fill="auto"/>
            <w:noWrap/>
            <w:tcMar>
              <w:top w:w="12" w:type="dxa"/>
              <w:left w:w="12" w:type="dxa"/>
              <w:right w:w="12" w:type="dxa"/>
            </w:tcMar>
            <w:vAlign w:val="center"/>
          </w:tcPr>
          <w:p w:rsidR="00B47983" w:rsidRDefault="00B47983" w:rsidP="00322CC8">
            <w:pPr>
              <w:widowControl/>
              <w:jc w:val="center"/>
              <w:textAlignment w:val="bottom"/>
              <w:rPr>
                <w:rFonts w:asciiTheme="minorEastAsia" w:hAnsiTheme="minorEastAsia" w:cstheme="minorEastAsia"/>
                <w:color w:val="000000"/>
                <w:sz w:val="24"/>
              </w:rPr>
            </w:pPr>
            <w:r>
              <w:rPr>
                <w:rFonts w:asciiTheme="minorEastAsia" w:hAnsiTheme="minorEastAsia" w:cstheme="minorEastAsia" w:hint="eastAsia"/>
                <w:color w:val="000000"/>
                <w:sz w:val="24"/>
              </w:rPr>
              <w:t>AX</w:t>
            </w:r>
          </w:p>
        </w:tc>
        <w:tc>
          <w:tcPr>
            <w:tcW w:w="2287" w:type="dxa"/>
            <w:tcBorders>
              <w:tl2br w:val="nil"/>
              <w:tr2bl w:val="nil"/>
            </w:tcBorders>
            <w:shd w:val="clear" w:color="auto" w:fill="auto"/>
            <w:noWrap/>
            <w:tcMar>
              <w:top w:w="12" w:type="dxa"/>
              <w:left w:w="12" w:type="dxa"/>
              <w:right w:w="12" w:type="dxa"/>
            </w:tcMar>
            <w:vAlign w:val="center"/>
          </w:tcPr>
          <w:p w:rsidR="00B47983" w:rsidRDefault="00B47983" w:rsidP="00322CC8">
            <w:pPr>
              <w:widowControl/>
              <w:jc w:val="center"/>
              <w:textAlignment w:val="bottom"/>
              <w:rPr>
                <w:rFonts w:asciiTheme="minorEastAsia" w:hAnsiTheme="minorEastAsia" w:cstheme="minorEastAsia"/>
                <w:color w:val="000000"/>
                <w:sz w:val="24"/>
              </w:rPr>
            </w:pPr>
            <w:r>
              <w:rPr>
                <w:rFonts w:asciiTheme="minorEastAsia" w:hAnsiTheme="minorEastAsia" w:cstheme="minorEastAsia" w:hint="eastAsia"/>
                <w:color w:val="000000"/>
                <w:sz w:val="24"/>
              </w:rPr>
              <w:t>3RT</w:t>
            </w:r>
          </w:p>
        </w:tc>
      </w:tr>
      <w:tr w:rsidR="00B47983" w:rsidTr="00322CC8">
        <w:trPr>
          <w:trHeight w:val="459"/>
          <w:jc w:val="center"/>
        </w:trPr>
        <w:tc>
          <w:tcPr>
            <w:tcW w:w="607" w:type="dxa"/>
            <w:tcBorders>
              <w:tl2br w:val="nil"/>
              <w:tr2bl w:val="nil"/>
            </w:tcBorders>
            <w:shd w:val="clear" w:color="auto" w:fill="auto"/>
            <w:noWrap/>
            <w:tcMar>
              <w:top w:w="12" w:type="dxa"/>
              <w:left w:w="12" w:type="dxa"/>
              <w:right w:w="12" w:type="dxa"/>
            </w:tcMar>
            <w:vAlign w:val="center"/>
          </w:tcPr>
          <w:p w:rsidR="00B47983" w:rsidRDefault="00B47983" w:rsidP="00B47983">
            <w:pPr>
              <w:widowControl/>
              <w:numPr>
                <w:ilvl w:val="0"/>
                <w:numId w:val="5"/>
              </w:numPr>
              <w:jc w:val="center"/>
              <w:textAlignment w:val="bottom"/>
              <w:rPr>
                <w:rFonts w:asciiTheme="minorEastAsia" w:hAnsiTheme="minorEastAsia" w:cstheme="minorEastAsia"/>
                <w:color w:val="000000"/>
                <w:kern w:val="0"/>
                <w:sz w:val="24"/>
                <w:lang w:bidi="ar"/>
              </w:rPr>
            </w:pPr>
          </w:p>
        </w:tc>
        <w:tc>
          <w:tcPr>
            <w:tcW w:w="2263" w:type="dxa"/>
            <w:tcBorders>
              <w:tl2br w:val="nil"/>
              <w:tr2bl w:val="nil"/>
            </w:tcBorders>
            <w:shd w:val="clear" w:color="auto" w:fill="auto"/>
            <w:noWrap/>
            <w:tcMar>
              <w:top w:w="12" w:type="dxa"/>
              <w:left w:w="12" w:type="dxa"/>
              <w:right w:w="12" w:type="dxa"/>
            </w:tcMar>
            <w:vAlign w:val="center"/>
          </w:tcPr>
          <w:p w:rsidR="00B47983" w:rsidRDefault="00B47983" w:rsidP="00322CC8">
            <w:pPr>
              <w:widowControl/>
              <w:jc w:val="center"/>
              <w:textAlignment w:val="bottom"/>
              <w:rPr>
                <w:rFonts w:asciiTheme="minorEastAsia" w:hAnsiTheme="minorEastAsia" w:cstheme="minorEastAsia"/>
                <w:color w:val="000000"/>
                <w:kern w:val="0"/>
                <w:sz w:val="24"/>
                <w:lang w:bidi="ar"/>
              </w:rPr>
            </w:pPr>
            <w:r>
              <w:rPr>
                <w:rFonts w:asciiTheme="minorEastAsia" w:hAnsiTheme="minorEastAsia" w:cstheme="minorEastAsia" w:hint="eastAsia"/>
                <w:color w:val="000000"/>
                <w:kern w:val="0"/>
                <w:sz w:val="24"/>
                <w:lang w:bidi="ar"/>
              </w:rPr>
              <w:t>热继电器</w:t>
            </w:r>
          </w:p>
        </w:tc>
        <w:tc>
          <w:tcPr>
            <w:tcW w:w="1697" w:type="dxa"/>
            <w:tcBorders>
              <w:tl2br w:val="nil"/>
              <w:tr2bl w:val="nil"/>
            </w:tcBorders>
            <w:shd w:val="clear" w:color="auto" w:fill="auto"/>
            <w:noWrap/>
            <w:tcMar>
              <w:top w:w="12" w:type="dxa"/>
              <w:left w:w="12" w:type="dxa"/>
              <w:right w:w="12" w:type="dxa"/>
            </w:tcMar>
            <w:vAlign w:val="center"/>
          </w:tcPr>
          <w:p w:rsidR="00B47983" w:rsidRDefault="00B47983" w:rsidP="00322CC8">
            <w:pPr>
              <w:widowControl/>
              <w:jc w:val="center"/>
              <w:textAlignment w:val="bottom"/>
              <w:rPr>
                <w:rFonts w:asciiTheme="minorEastAsia" w:hAnsiTheme="minorEastAsia" w:cstheme="minorEastAsia"/>
                <w:color w:val="000000"/>
                <w:kern w:val="0"/>
                <w:sz w:val="24"/>
                <w:lang w:bidi="ar"/>
              </w:rPr>
            </w:pPr>
            <w:r>
              <w:rPr>
                <w:rFonts w:asciiTheme="minorEastAsia" w:hAnsiTheme="minorEastAsia" w:cstheme="minorEastAsia" w:hint="eastAsia"/>
                <w:color w:val="000000"/>
                <w:kern w:val="0"/>
                <w:sz w:val="24"/>
                <w:lang w:bidi="ar"/>
              </w:rPr>
              <w:t>LRD</w:t>
            </w:r>
          </w:p>
        </w:tc>
        <w:tc>
          <w:tcPr>
            <w:tcW w:w="1697" w:type="dxa"/>
            <w:tcBorders>
              <w:tl2br w:val="nil"/>
              <w:tr2bl w:val="nil"/>
            </w:tcBorders>
            <w:shd w:val="clear" w:color="auto" w:fill="auto"/>
            <w:noWrap/>
            <w:tcMar>
              <w:top w:w="12" w:type="dxa"/>
              <w:left w:w="12" w:type="dxa"/>
              <w:right w:w="12" w:type="dxa"/>
            </w:tcMar>
            <w:vAlign w:val="center"/>
          </w:tcPr>
          <w:p w:rsidR="00B47983" w:rsidRDefault="00B47983" w:rsidP="00322CC8">
            <w:pPr>
              <w:widowControl/>
              <w:jc w:val="center"/>
              <w:textAlignment w:val="bottom"/>
              <w:rPr>
                <w:rFonts w:asciiTheme="minorEastAsia" w:hAnsiTheme="minorEastAsia" w:cstheme="minorEastAsia"/>
                <w:color w:val="000000"/>
                <w:kern w:val="0"/>
                <w:sz w:val="24"/>
                <w:lang w:bidi="ar"/>
              </w:rPr>
            </w:pPr>
            <w:r>
              <w:rPr>
                <w:rFonts w:asciiTheme="minorEastAsia" w:hAnsiTheme="minorEastAsia" w:cstheme="minorEastAsia" w:hint="eastAsia"/>
                <w:color w:val="000000"/>
                <w:kern w:val="0"/>
                <w:sz w:val="24"/>
                <w:lang w:bidi="ar"/>
              </w:rPr>
              <w:t>TA</w:t>
            </w:r>
          </w:p>
        </w:tc>
        <w:tc>
          <w:tcPr>
            <w:tcW w:w="2287" w:type="dxa"/>
            <w:tcBorders>
              <w:tl2br w:val="nil"/>
              <w:tr2bl w:val="nil"/>
            </w:tcBorders>
            <w:shd w:val="clear" w:color="auto" w:fill="auto"/>
            <w:noWrap/>
            <w:tcMar>
              <w:top w:w="12" w:type="dxa"/>
              <w:left w:w="12" w:type="dxa"/>
              <w:right w:w="12" w:type="dxa"/>
            </w:tcMar>
            <w:vAlign w:val="center"/>
          </w:tcPr>
          <w:p w:rsidR="00B47983" w:rsidRDefault="00B47983" w:rsidP="00322CC8">
            <w:pPr>
              <w:widowControl/>
              <w:jc w:val="center"/>
              <w:textAlignment w:val="bottom"/>
              <w:rPr>
                <w:rFonts w:asciiTheme="minorEastAsia" w:hAnsiTheme="minorEastAsia" w:cstheme="minorEastAsia"/>
                <w:color w:val="000000"/>
                <w:kern w:val="0"/>
                <w:sz w:val="24"/>
                <w:lang w:bidi="ar"/>
              </w:rPr>
            </w:pPr>
            <w:r>
              <w:rPr>
                <w:rFonts w:asciiTheme="minorEastAsia" w:hAnsiTheme="minorEastAsia" w:cstheme="minorEastAsia" w:hint="eastAsia"/>
                <w:color w:val="000000"/>
                <w:kern w:val="0"/>
                <w:sz w:val="24"/>
                <w:lang w:bidi="ar"/>
              </w:rPr>
              <w:t>3RU</w:t>
            </w:r>
          </w:p>
        </w:tc>
      </w:tr>
      <w:tr w:rsidR="00B47983" w:rsidTr="00322CC8">
        <w:trPr>
          <w:trHeight w:val="459"/>
          <w:jc w:val="center"/>
        </w:trPr>
        <w:tc>
          <w:tcPr>
            <w:tcW w:w="607" w:type="dxa"/>
            <w:tcBorders>
              <w:tl2br w:val="nil"/>
              <w:tr2bl w:val="nil"/>
            </w:tcBorders>
            <w:shd w:val="clear" w:color="auto" w:fill="auto"/>
            <w:noWrap/>
            <w:tcMar>
              <w:top w:w="12" w:type="dxa"/>
              <w:left w:w="12" w:type="dxa"/>
              <w:right w:w="12" w:type="dxa"/>
            </w:tcMar>
            <w:vAlign w:val="center"/>
          </w:tcPr>
          <w:p w:rsidR="00B47983" w:rsidRDefault="00B47983" w:rsidP="00B47983">
            <w:pPr>
              <w:widowControl/>
              <w:numPr>
                <w:ilvl w:val="0"/>
                <w:numId w:val="5"/>
              </w:numPr>
              <w:jc w:val="center"/>
              <w:textAlignment w:val="bottom"/>
              <w:rPr>
                <w:rFonts w:asciiTheme="minorEastAsia" w:hAnsiTheme="minorEastAsia" w:cstheme="minorEastAsia"/>
                <w:color w:val="000000"/>
                <w:kern w:val="0"/>
                <w:sz w:val="24"/>
                <w:lang w:bidi="ar"/>
              </w:rPr>
            </w:pPr>
          </w:p>
        </w:tc>
        <w:tc>
          <w:tcPr>
            <w:tcW w:w="2263" w:type="dxa"/>
            <w:tcBorders>
              <w:tl2br w:val="nil"/>
              <w:tr2bl w:val="nil"/>
            </w:tcBorders>
            <w:shd w:val="clear" w:color="auto" w:fill="auto"/>
            <w:noWrap/>
            <w:tcMar>
              <w:top w:w="12" w:type="dxa"/>
              <w:left w:w="12" w:type="dxa"/>
              <w:right w:w="12" w:type="dxa"/>
            </w:tcMar>
            <w:vAlign w:val="center"/>
          </w:tcPr>
          <w:p w:rsidR="00B47983" w:rsidRDefault="00B47983" w:rsidP="00322CC8">
            <w:pPr>
              <w:widowControl/>
              <w:jc w:val="center"/>
              <w:textAlignment w:val="bottom"/>
              <w:rPr>
                <w:rFonts w:asciiTheme="minorEastAsia" w:hAnsiTheme="minorEastAsia" w:cstheme="minorEastAsia"/>
                <w:color w:val="000000"/>
                <w:kern w:val="0"/>
                <w:sz w:val="24"/>
                <w:lang w:bidi="ar"/>
              </w:rPr>
            </w:pPr>
            <w:r>
              <w:rPr>
                <w:rFonts w:asciiTheme="minorEastAsia" w:hAnsiTheme="minorEastAsia" w:cstheme="minorEastAsia" w:hint="eastAsia"/>
                <w:color w:val="000000"/>
                <w:kern w:val="0"/>
                <w:sz w:val="24"/>
                <w:lang w:bidi="ar"/>
              </w:rPr>
              <w:t>浪涌保护器</w:t>
            </w:r>
          </w:p>
        </w:tc>
        <w:tc>
          <w:tcPr>
            <w:tcW w:w="1697" w:type="dxa"/>
            <w:tcBorders>
              <w:tl2br w:val="nil"/>
              <w:tr2bl w:val="nil"/>
            </w:tcBorders>
            <w:shd w:val="clear" w:color="auto" w:fill="auto"/>
            <w:noWrap/>
            <w:tcMar>
              <w:top w:w="12" w:type="dxa"/>
              <w:left w:w="12" w:type="dxa"/>
              <w:right w:w="12" w:type="dxa"/>
            </w:tcMar>
            <w:vAlign w:val="center"/>
          </w:tcPr>
          <w:p w:rsidR="00B47983" w:rsidRDefault="00B47983" w:rsidP="00322CC8">
            <w:pPr>
              <w:widowControl/>
              <w:jc w:val="center"/>
              <w:textAlignment w:val="bottom"/>
              <w:rPr>
                <w:rFonts w:asciiTheme="minorEastAsia" w:hAnsiTheme="minorEastAsia" w:cstheme="minorEastAsia"/>
                <w:color w:val="000000"/>
                <w:kern w:val="0"/>
                <w:sz w:val="24"/>
                <w:lang w:bidi="ar"/>
              </w:rPr>
            </w:pPr>
            <w:r>
              <w:rPr>
                <w:rFonts w:asciiTheme="minorEastAsia" w:hAnsiTheme="minorEastAsia" w:cstheme="minorEastAsia" w:hint="eastAsia"/>
                <w:color w:val="000000"/>
                <w:kern w:val="0"/>
                <w:sz w:val="24"/>
                <w:lang w:bidi="ar"/>
              </w:rPr>
              <w:t>PRD</w:t>
            </w:r>
          </w:p>
        </w:tc>
        <w:tc>
          <w:tcPr>
            <w:tcW w:w="1697" w:type="dxa"/>
            <w:tcBorders>
              <w:tl2br w:val="nil"/>
              <w:tr2bl w:val="nil"/>
            </w:tcBorders>
            <w:shd w:val="clear" w:color="auto" w:fill="auto"/>
            <w:noWrap/>
            <w:tcMar>
              <w:top w:w="12" w:type="dxa"/>
              <w:left w:w="12" w:type="dxa"/>
              <w:right w:w="12" w:type="dxa"/>
            </w:tcMar>
            <w:vAlign w:val="center"/>
          </w:tcPr>
          <w:p w:rsidR="00B47983" w:rsidRDefault="00B47983" w:rsidP="00322CC8">
            <w:pPr>
              <w:widowControl/>
              <w:jc w:val="center"/>
              <w:textAlignment w:val="bottom"/>
              <w:rPr>
                <w:rFonts w:asciiTheme="minorEastAsia" w:hAnsiTheme="minorEastAsia" w:cstheme="minorEastAsia"/>
                <w:color w:val="000000"/>
                <w:kern w:val="0"/>
                <w:sz w:val="24"/>
                <w:lang w:bidi="ar"/>
              </w:rPr>
            </w:pPr>
            <w:r>
              <w:rPr>
                <w:rFonts w:asciiTheme="minorEastAsia" w:hAnsiTheme="minorEastAsia" w:cstheme="minorEastAsia" w:hint="eastAsia"/>
                <w:color w:val="000000"/>
                <w:kern w:val="0"/>
                <w:sz w:val="24"/>
                <w:lang w:bidi="ar"/>
              </w:rPr>
              <w:t>OVR</w:t>
            </w:r>
          </w:p>
        </w:tc>
        <w:tc>
          <w:tcPr>
            <w:tcW w:w="2287" w:type="dxa"/>
            <w:tcBorders>
              <w:tl2br w:val="nil"/>
              <w:tr2bl w:val="nil"/>
            </w:tcBorders>
            <w:shd w:val="clear" w:color="auto" w:fill="auto"/>
            <w:noWrap/>
            <w:tcMar>
              <w:top w:w="12" w:type="dxa"/>
              <w:left w:w="12" w:type="dxa"/>
              <w:right w:w="12" w:type="dxa"/>
            </w:tcMar>
            <w:vAlign w:val="center"/>
          </w:tcPr>
          <w:p w:rsidR="00B47983" w:rsidRDefault="00B47983" w:rsidP="00322CC8">
            <w:pPr>
              <w:widowControl/>
              <w:jc w:val="center"/>
              <w:textAlignment w:val="bottom"/>
              <w:rPr>
                <w:rFonts w:asciiTheme="minorEastAsia" w:hAnsiTheme="minorEastAsia" w:cstheme="minorEastAsia"/>
                <w:color w:val="000000"/>
                <w:kern w:val="0"/>
                <w:sz w:val="24"/>
                <w:lang w:bidi="ar"/>
              </w:rPr>
            </w:pPr>
            <w:r>
              <w:rPr>
                <w:rFonts w:asciiTheme="minorEastAsia" w:hAnsiTheme="minorEastAsia" w:cstheme="minorEastAsia" w:hint="eastAsia"/>
                <w:color w:val="000000"/>
                <w:kern w:val="0"/>
                <w:sz w:val="24"/>
                <w:lang w:bidi="ar"/>
              </w:rPr>
              <w:t>5SD7</w:t>
            </w:r>
          </w:p>
        </w:tc>
      </w:tr>
      <w:tr w:rsidR="00B47983" w:rsidTr="00322CC8">
        <w:trPr>
          <w:trHeight w:val="459"/>
          <w:jc w:val="center"/>
        </w:trPr>
        <w:tc>
          <w:tcPr>
            <w:tcW w:w="8551" w:type="dxa"/>
            <w:gridSpan w:val="5"/>
            <w:tcBorders>
              <w:tl2br w:val="nil"/>
              <w:tr2bl w:val="nil"/>
            </w:tcBorders>
            <w:shd w:val="clear" w:color="auto" w:fill="auto"/>
            <w:noWrap/>
            <w:tcMar>
              <w:top w:w="12" w:type="dxa"/>
              <w:left w:w="12" w:type="dxa"/>
              <w:right w:w="12" w:type="dxa"/>
            </w:tcMar>
            <w:vAlign w:val="center"/>
          </w:tcPr>
          <w:p w:rsidR="00B47983" w:rsidRDefault="00B47983" w:rsidP="00322CC8">
            <w:pPr>
              <w:widowControl/>
              <w:jc w:val="left"/>
              <w:textAlignment w:val="bottom"/>
              <w:rPr>
                <w:rFonts w:asciiTheme="minorEastAsia" w:hAnsiTheme="minorEastAsia" w:cstheme="minorEastAsia"/>
                <w:b/>
                <w:bCs/>
                <w:color w:val="000000"/>
                <w:kern w:val="0"/>
                <w:sz w:val="24"/>
                <w:lang w:bidi="ar"/>
              </w:rPr>
            </w:pPr>
            <w:r>
              <w:rPr>
                <w:rFonts w:asciiTheme="minorEastAsia" w:hAnsiTheme="minorEastAsia" w:cstheme="minorEastAsia" w:hint="eastAsia"/>
                <w:b/>
                <w:bCs/>
                <w:color w:val="000000"/>
                <w:kern w:val="0"/>
                <w:sz w:val="24"/>
                <w:lang w:bidi="ar"/>
              </w:rPr>
              <w:t>特别提醒：配电箱中的上述元器件，从以上品牌对应系列中选择，其技术参数必须符合设计要求，否则甲方将不予接收。</w:t>
            </w:r>
          </w:p>
        </w:tc>
      </w:tr>
    </w:tbl>
    <w:p w:rsidR="00B47983" w:rsidRDefault="00B47983" w:rsidP="00B47983">
      <w:pPr>
        <w:spacing w:line="360" w:lineRule="auto"/>
        <w:rPr>
          <w:sz w:val="24"/>
        </w:rPr>
      </w:pPr>
    </w:p>
    <w:p w:rsidR="00B47983" w:rsidRDefault="00B47983" w:rsidP="00B47983">
      <w:pPr>
        <w:spacing w:line="360" w:lineRule="auto"/>
        <w:rPr>
          <w:sz w:val="24"/>
        </w:rPr>
      </w:pPr>
      <w:r>
        <w:rPr>
          <w:rFonts w:hint="eastAsia"/>
          <w:sz w:val="24"/>
        </w:rPr>
        <w:t>其他说明：</w:t>
      </w:r>
    </w:p>
    <w:p w:rsidR="00B47983" w:rsidRDefault="00B47983" w:rsidP="00B47983">
      <w:pPr>
        <w:numPr>
          <w:ilvl w:val="0"/>
          <w:numId w:val="6"/>
        </w:numPr>
        <w:spacing w:line="360" w:lineRule="auto"/>
        <w:rPr>
          <w:sz w:val="24"/>
        </w:rPr>
      </w:pPr>
      <w:r>
        <w:rPr>
          <w:rFonts w:hint="eastAsia"/>
          <w:sz w:val="24"/>
        </w:rPr>
        <w:t>配电箱内所有计量表计（电能表，包括多功能仪表）均为</w:t>
      </w:r>
      <w:proofErr w:type="gramStart"/>
      <w:r>
        <w:rPr>
          <w:rFonts w:hint="eastAsia"/>
          <w:sz w:val="24"/>
        </w:rPr>
        <w:t>建设方甲供</w:t>
      </w:r>
      <w:proofErr w:type="gramEnd"/>
      <w:r>
        <w:rPr>
          <w:rFonts w:hint="eastAsia"/>
          <w:sz w:val="24"/>
        </w:rPr>
        <w:t>。配电</w:t>
      </w:r>
      <w:proofErr w:type="gramStart"/>
      <w:r>
        <w:rPr>
          <w:rFonts w:hint="eastAsia"/>
          <w:sz w:val="24"/>
        </w:rPr>
        <w:t>箱生产</w:t>
      </w:r>
      <w:proofErr w:type="gramEnd"/>
      <w:r>
        <w:rPr>
          <w:rFonts w:hint="eastAsia"/>
          <w:sz w:val="24"/>
        </w:rPr>
        <w:t>前，甲方根据总承包方提供的电表规格和数量将电表送到配电箱成套厂，由成套厂按规范安装。</w:t>
      </w:r>
    </w:p>
    <w:p w:rsidR="001837FE" w:rsidRPr="00B47983" w:rsidRDefault="00B47983" w:rsidP="00E02104">
      <w:pPr>
        <w:spacing w:line="360" w:lineRule="auto"/>
      </w:pPr>
      <w:r>
        <w:rPr>
          <w:rFonts w:hint="eastAsia"/>
          <w:sz w:val="24"/>
        </w:rPr>
        <w:t>2</w:t>
      </w:r>
      <w:r>
        <w:rPr>
          <w:rFonts w:hint="eastAsia"/>
          <w:sz w:val="24"/>
        </w:rPr>
        <w:t>、用于计量的电流互感器准确度</w:t>
      </w:r>
      <w:proofErr w:type="gramStart"/>
      <w:r>
        <w:rPr>
          <w:rFonts w:hint="eastAsia"/>
          <w:sz w:val="24"/>
        </w:rPr>
        <w:t>级不得</w:t>
      </w:r>
      <w:proofErr w:type="gramEnd"/>
      <w:r>
        <w:rPr>
          <w:rFonts w:hint="eastAsia"/>
          <w:sz w:val="24"/>
        </w:rPr>
        <w:t>低于</w:t>
      </w:r>
      <w:r>
        <w:rPr>
          <w:rFonts w:hint="eastAsia"/>
          <w:sz w:val="24"/>
        </w:rPr>
        <w:t>0.5</w:t>
      </w:r>
      <w:r>
        <w:rPr>
          <w:rFonts w:hint="eastAsia"/>
          <w:sz w:val="24"/>
        </w:rPr>
        <w:t>级。</w:t>
      </w:r>
    </w:p>
    <w:sectPr w:rsidR="001837FE" w:rsidRPr="00B47983">
      <w:headerReference w:type="default" r:id="rId8"/>
      <w:pgSz w:w="11906" w:h="16838"/>
      <w:pgMar w:top="1440" w:right="1274"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331F" w:rsidRDefault="00E3331F">
      <w:r>
        <w:separator/>
      </w:r>
    </w:p>
  </w:endnote>
  <w:endnote w:type="continuationSeparator" w:id="0">
    <w:p w:rsidR="00E3331F" w:rsidRDefault="00E33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331F" w:rsidRDefault="00E3331F">
      <w:r>
        <w:separator/>
      </w:r>
    </w:p>
  </w:footnote>
  <w:footnote w:type="continuationSeparator" w:id="0">
    <w:p w:rsidR="00E3331F" w:rsidRDefault="00E333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0F07" w:rsidRDefault="00E3331F">
    <w:pPr>
      <w:pStyle w:val="a3"/>
      <w:pBdr>
        <w:bottom w:val="none" w:sz="0" w:space="0" w:color="auto"/>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95360D"/>
    <w:multiLevelType w:val="singleLevel"/>
    <w:tmpl w:val="B595360D"/>
    <w:lvl w:ilvl="0">
      <w:start w:val="1"/>
      <w:numFmt w:val="decimal"/>
      <w:suff w:val="nothing"/>
      <w:lvlText w:val="%1．"/>
      <w:lvlJc w:val="left"/>
      <w:pPr>
        <w:ind w:left="0" w:firstLine="400"/>
      </w:pPr>
      <w:rPr>
        <w:rFonts w:hint="default"/>
      </w:rPr>
    </w:lvl>
  </w:abstractNum>
  <w:abstractNum w:abstractNumId="1">
    <w:nsid w:val="E52DD233"/>
    <w:multiLevelType w:val="singleLevel"/>
    <w:tmpl w:val="E52DD233"/>
    <w:lvl w:ilvl="0">
      <w:start w:val="1"/>
      <w:numFmt w:val="decimal"/>
      <w:suff w:val="nothing"/>
      <w:lvlText w:val="%1、"/>
      <w:lvlJc w:val="left"/>
    </w:lvl>
  </w:abstractNum>
  <w:abstractNum w:abstractNumId="2">
    <w:nsid w:val="E8A3EF47"/>
    <w:multiLevelType w:val="singleLevel"/>
    <w:tmpl w:val="E8A3EF47"/>
    <w:lvl w:ilvl="0">
      <w:start w:val="1"/>
      <w:numFmt w:val="decimal"/>
      <w:suff w:val="nothing"/>
      <w:lvlText w:val="%1．"/>
      <w:lvlJc w:val="left"/>
      <w:pPr>
        <w:ind w:left="0" w:firstLine="400"/>
      </w:pPr>
      <w:rPr>
        <w:rFonts w:hint="default"/>
      </w:rPr>
    </w:lvl>
  </w:abstractNum>
  <w:abstractNum w:abstractNumId="3">
    <w:nsid w:val="15FF68A9"/>
    <w:multiLevelType w:val="singleLevel"/>
    <w:tmpl w:val="15FF68A9"/>
    <w:lvl w:ilvl="0">
      <w:start w:val="4"/>
      <w:numFmt w:val="chineseCounting"/>
      <w:suff w:val="nothing"/>
      <w:lvlText w:val="%1、"/>
      <w:lvlJc w:val="left"/>
      <w:rPr>
        <w:rFonts w:hint="eastAsia"/>
      </w:rPr>
    </w:lvl>
  </w:abstractNum>
  <w:abstractNum w:abstractNumId="4">
    <w:nsid w:val="215854C7"/>
    <w:multiLevelType w:val="singleLevel"/>
    <w:tmpl w:val="215854C7"/>
    <w:lvl w:ilvl="0">
      <w:start w:val="1"/>
      <w:numFmt w:val="chineseCounting"/>
      <w:suff w:val="nothing"/>
      <w:lvlText w:val="（%1）"/>
      <w:lvlJc w:val="left"/>
      <w:rPr>
        <w:rFonts w:hint="eastAsia"/>
      </w:rPr>
    </w:lvl>
  </w:abstractNum>
  <w:abstractNum w:abstractNumId="5">
    <w:nsid w:val="3CD06936"/>
    <w:multiLevelType w:val="singleLevel"/>
    <w:tmpl w:val="3CD06936"/>
    <w:lvl w:ilvl="0">
      <w:start w:val="1"/>
      <w:numFmt w:val="decimal"/>
      <w:lvlText w:val="%1."/>
      <w:lvlJc w:val="left"/>
      <w:pPr>
        <w:ind w:left="425" w:hanging="425"/>
      </w:pPr>
      <w:rPr>
        <w:rFonts w:hint="default"/>
      </w:rPr>
    </w:lvl>
  </w:abstractNum>
  <w:num w:numId="1">
    <w:abstractNumId w:val="2"/>
  </w:num>
  <w:num w:numId="2">
    <w:abstractNumId w:val="3"/>
  </w:num>
  <w:num w:numId="3">
    <w:abstractNumId w:val="4"/>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DE1"/>
    <w:rsid w:val="00054384"/>
    <w:rsid w:val="000D7DCE"/>
    <w:rsid w:val="001837FE"/>
    <w:rsid w:val="00204D11"/>
    <w:rsid w:val="002E07F8"/>
    <w:rsid w:val="004D2D2D"/>
    <w:rsid w:val="004E418D"/>
    <w:rsid w:val="0057445E"/>
    <w:rsid w:val="00596CB3"/>
    <w:rsid w:val="00821766"/>
    <w:rsid w:val="00A455EC"/>
    <w:rsid w:val="00A6171E"/>
    <w:rsid w:val="00B47983"/>
    <w:rsid w:val="00BB1CDD"/>
    <w:rsid w:val="00C11DE3"/>
    <w:rsid w:val="00D9154D"/>
    <w:rsid w:val="00E02104"/>
    <w:rsid w:val="00E3331F"/>
    <w:rsid w:val="00EB1278"/>
    <w:rsid w:val="00EE106A"/>
    <w:rsid w:val="00F26819"/>
    <w:rsid w:val="00F950D8"/>
    <w:rsid w:val="00FB6D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DE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qFormat/>
    <w:rsid w:val="00FB6D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B6DE1"/>
    <w:rPr>
      <w:rFonts w:ascii="Times New Roman" w:eastAsia="宋体" w:hAnsi="Times New Roman" w:cs="Times New Roman"/>
      <w:sz w:val="18"/>
      <w:szCs w:val="18"/>
    </w:rPr>
  </w:style>
  <w:style w:type="paragraph" w:styleId="a4">
    <w:name w:val="footer"/>
    <w:basedOn w:val="a"/>
    <w:link w:val="Char0"/>
    <w:uiPriority w:val="99"/>
    <w:unhideWhenUsed/>
    <w:rsid w:val="002E07F8"/>
    <w:pPr>
      <w:tabs>
        <w:tab w:val="center" w:pos="4153"/>
        <w:tab w:val="right" w:pos="8306"/>
      </w:tabs>
      <w:snapToGrid w:val="0"/>
      <w:jc w:val="left"/>
    </w:pPr>
    <w:rPr>
      <w:sz w:val="18"/>
      <w:szCs w:val="18"/>
    </w:rPr>
  </w:style>
  <w:style w:type="character" w:customStyle="1" w:styleId="Char0">
    <w:name w:val="页脚 Char"/>
    <w:basedOn w:val="a0"/>
    <w:link w:val="a4"/>
    <w:uiPriority w:val="99"/>
    <w:rsid w:val="002E07F8"/>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DE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qFormat/>
    <w:rsid w:val="00FB6D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B6DE1"/>
    <w:rPr>
      <w:rFonts w:ascii="Times New Roman" w:eastAsia="宋体" w:hAnsi="Times New Roman" w:cs="Times New Roman"/>
      <w:sz w:val="18"/>
      <w:szCs w:val="18"/>
    </w:rPr>
  </w:style>
  <w:style w:type="paragraph" w:styleId="a4">
    <w:name w:val="footer"/>
    <w:basedOn w:val="a"/>
    <w:link w:val="Char0"/>
    <w:uiPriority w:val="99"/>
    <w:unhideWhenUsed/>
    <w:rsid w:val="002E07F8"/>
    <w:pPr>
      <w:tabs>
        <w:tab w:val="center" w:pos="4153"/>
        <w:tab w:val="right" w:pos="8306"/>
      </w:tabs>
      <w:snapToGrid w:val="0"/>
      <w:jc w:val="left"/>
    </w:pPr>
    <w:rPr>
      <w:sz w:val="18"/>
      <w:szCs w:val="18"/>
    </w:rPr>
  </w:style>
  <w:style w:type="character" w:customStyle="1" w:styleId="Char0">
    <w:name w:val="页脚 Char"/>
    <w:basedOn w:val="a0"/>
    <w:link w:val="a4"/>
    <w:uiPriority w:val="99"/>
    <w:rsid w:val="002E07F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3</Pages>
  <Words>240</Words>
  <Characters>1374</Characters>
  <Application>Microsoft Office Word</Application>
  <DocSecurity>0</DocSecurity>
  <Lines>11</Lines>
  <Paragraphs>3</Paragraphs>
  <ScaleCrop>false</ScaleCrop>
  <Company>china</Company>
  <LinksUpToDate>false</LinksUpToDate>
  <CharactersWithSpaces>1611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lujinzhi</cp:lastModifiedBy>
  <cp:revision>45</cp:revision>
  <dcterms:created xsi:type="dcterms:W3CDTF">2020-07-16T05:49:00Z</dcterms:created>
  <dcterms:modified xsi:type="dcterms:W3CDTF">2020-08-06T08:48:00Z</dcterms:modified>
</cp:coreProperties>
</file>