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DC1" w:rsidRDefault="009B029D">
      <w:pPr>
        <w:jc w:val="center"/>
        <w:rPr>
          <w:rFonts w:ascii="华文楷体" w:eastAsia="华文楷体" w:hAnsi="华文楷体" w:cs="华文楷体"/>
          <w:b/>
          <w:sz w:val="40"/>
          <w:szCs w:val="40"/>
        </w:rPr>
      </w:pPr>
      <w:r>
        <w:rPr>
          <w:rFonts w:ascii="华文楷体" w:eastAsia="华文楷体" w:hAnsi="华文楷体" w:cs="华文楷体" w:hint="eastAsia"/>
          <w:b/>
          <w:sz w:val="40"/>
          <w:szCs w:val="40"/>
        </w:rPr>
        <w:t>清单编制说明</w:t>
      </w:r>
    </w:p>
    <w:p w:rsidR="009C3DC1" w:rsidRDefault="009B029D">
      <w:pPr>
        <w:numPr>
          <w:ilvl w:val="0"/>
          <w:numId w:val="1"/>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工程概况</w:t>
      </w:r>
    </w:p>
    <w:p w:rsidR="009C3DC1" w:rsidRDefault="009B029D">
      <w:pPr>
        <w:pStyle w:val="a9"/>
        <w:widowControl/>
        <w:spacing w:before="0" w:beforeAutospacing="0" w:after="0" w:afterAutospacing="0"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南京大学西南楼修缮工程项目内走道高</w:t>
      </w:r>
      <w:proofErr w:type="gramStart"/>
      <w:r>
        <w:rPr>
          <w:rFonts w:ascii="华文楷体" w:eastAsia="华文楷体" w:hAnsi="华文楷体" w:cs="华文楷体" w:hint="eastAsia"/>
          <w:sz w:val="28"/>
          <w:szCs w:val="28"/>
        </w:rPr>
        <w:t>窗位于</w:t>
      </w:r>
      <w:proofErr w:type="gramEnd"/>
      <w:r>
        <w:rPr>
          <w:rFonts w:ascii="华文楷体" w:eastAsia="华文楷体" w:hAnsi="华文楷体" w:cs="华文楷体" w:hint="eastAsia"/>
          <w:sz w:val="28"/>
          <w:szCs w:val="28"/>
        </w:rPr>
        <w:t>南京大学鼓楼校区，项目内容</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南京大学西南楼走道高窗采购安装等。</w:t>
      </w:r>
    </w:p>
    <w:p w:rsidR="009C3DC1" w:rsidRDefault="009B029D">
      <w:pPr>
        <w:pStyle w:val="a9"/>
        <w:widowControl/>
        <w:spacing w:before="0" w:beforeAutospacing="0" w:after="0" w:afterAutospacing="0" w:line="360" w:lineRule="auto"/>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施工的范围</w:t>
      </w:r>
      <w:r>
        <w:rPr>
          <w:rFonts w:ascii="华文楷体" w:eastAsia="华文楷体" w:hAnsi="华文楷体" w:cs="华文楷体" w:hint="eastAsia"/>
          <w:kern w:val="2"/>
          <w:sz w:val="28"/>
          <w:szCs w:val="28"/>
        </w:rPr>
        <w:t xml:space="preserve">: </w:t>
      </w:r>
      <w:r>
        <w:rPr>
          <w:rFonts w:ascii="华文楷体" w:eastAsia="华文楷体" w:hAnsi="华文楷体" w:cs="华文楷体" w:hint="eastAsia"/>
          <w:kern w:val="2"/>
          <w:sz w:val="28"/>
          <w:szCs w:val="28"/>
        </w:rPr>
        <w:t>南京大学西南楼内走道高窗，</w:t>
      </w:r>
      <w:r>
        <w:rPr>
          <w:rFonts w:ascii="华文楷体" w:eastAsia="华文楷体" w:hAnsi="华文楷体" w:cs="华文楷体" w:hint="eastAsia"/>
          <w:kern w:val="2"/>
          <w:sz w:val="28"/>
          <w:szCs w:val="28"/>
        </w:rPr>
        <w:t>详见施工图。</w:t>
      </w:r>
    </w:p>
    <w:p w:rsidR="009C3DC1" w:rsidRDefault="009B029D">
      <w:pPr>
        <w:numPr>
          <w:ilvl w:val="0"/>
          <w:numId w:val="1"/>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工程招标和分包范围</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本项目招标清单范围等所有内容，本</w:t>
      </w:r>
      <w:r>
        <w:rPr>
          <w:rFonts w:ascii="华文楷体" w:eastAsia="华文楷体" w:hAnsi="华文楷体" w:cs="华文楷体" w:hint="eastAsia"/>
          <w:sz w:val="28"/>
          <w:szCs w:val="28"/>
        </w:rPr>
        <w:t>项目共一个标段，无其它专业分包项。</w:t>
      </w:r>
    </w:p>
    <w:p w:rsidR="009C3DC1" w:rsidRDefault="009B029D">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三、编制依据</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、现场实际勘查。</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、《省住房城乡建设厅关于</w:t>
      </w:r>
      <w:r>
        <w:rPr>
          <w:rFonts w:ascii="华文楷体" w:eastAsia="华文楷体" w:hAnsi="华文楷体" w:cs="华文楷体" w:hint="eastAsia"/>
          <w:sz w:val="28"/>
          <w:szCs w:val="28"/>
        </w:rPr>
        <w:t>&lt;</w:t>
      </w:r>
      <w:r>
        <w:rPr>
          <w:rFonts w:ascii="华文楷体" w:eastAsia="华文楷体" w:hAnsi="华文楷体" w:cs="华文楷体" w:hint="eastAsia"/>
          <w:sz w:val="28"/>
          <w:szCs w:val="28"/>
        </w:rPr>
        <w:t>建设工程工程量清单计价规范</w:t>
      </w:r>
      <w:r>
        <w:rPr>
          <w:rFonts w:ascii="华文楷体" w:eastAsia="华文楷体" w:hAnsi="华文楷体" w:cs="华文楷体" w:hint="eastAsia"/>
          <w:sz w:val="28"/>
          <w:szCs w:val="28"/>
        </w:rPr>
        <w:t>&gt;</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GB50500</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2013</w:t>
      </w:r>
      <w:r>
        <w:rPr>
          <w:rFonts w:ascii="华文楷体" w:eastAsia="华文楷体" w:hAnsi="华文楷体" w:cs="华文楷体" w:hint="eastAsia"/>
          <w:sz w:val="28"/>
          <w:szCs w:val="28"/>
        </w:rPr>
        <w:t>）及其</w:t>
      </w:r>
      <w:r>
        <w:rPr>
          <w:rFonts w:ascii="华文楷体" w:eastAsia="华文楷体" w:hAnsi="华文楷体" w:cs="华文楷体" w:hint="eastAsia"/>
          <w:sz w:val="28"/>
          <w:szCs w:val="28"/>
        </w:rPr>
        <w:t>9</w:t>
      </w:r>
      <w:r>
        <w:rPr>
          <w:rFonts w:ascii="华文楷体" w:eastAsia="华文楷体" w:hAnsi="华文楷体" w:cs="华文楷体" w:hint="eastAsia"/>
          <w:sz w:val="28"/>
          <w:szCs w:val="28"/>
        </w:rPr>
        <w:t>本工程量计算规范的贯彻意见》（</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2014</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448</w:t>
      </w:r>
      <w:r>
        <w:rPr>
          <w:rFonts w:ascii="华文楷体" w:eastAsia="华文楷体" w:hAnsi="华文楷体" w:cs="华文楷体" w:hint="eastAsia"/>
          <w:sz w:val="28"/>
          <w:szCs w:val="28"/>
        </w:rPr>
        <w:t>号）。</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、《省住房城乡建设厅关于建筑业实施营改增后江苏省建设工程计价依据调整的通知》（</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2016</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154</w:t>
      </w:r>
      <w:r>
        <w:rPr>
          <w:rFonts w:ascii="华文楷体" w:eastAsia="华文楷体" w:hAnsi="华文楷体" w:cs="华文楷体" w:hint="eastAsia"/>
          <w:sz w:val="28"/>
          <w:szCs w:val="28"/>
        </w:rPr>
        <w:t>号）中不可竞争费用的规定。</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、《省住房城乡建设厅关于调整建设工程计价增值税税率的通知》（苏</w:t>
      </w:r>
      <w:proofErr w:type="gramStart"/>
      <w:r>
        <w:rPr>
          <w:rFonts w:ascii="华文楷体" w:eastAsia="华文楷体" w:hAnsi="华文楷体" w:cs="华文楷体" w:hint="eastAsia"/>
          <w:sz w:val="28"/>
          <w:szCs w:val="28"/>
        </w:rPr>
        <w:t>建函价</w:t>
      </w:r>
      <w:proofErr w:type="gramEnd"/>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2019</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178</w:t>
      </w:r>
      <w:r>
        <w:rPr>
          <w:rFonts w:ascii="华文楷体" w:eastAsia="华文楷体" w:hAnsi="华文楷体" w:cs="华文楷体" w:hint="eastAsia"/>
          <w:sz w:val="28"/>
          <w:szCs w:val="28"/>
        </w:rPr>
        <w:t>号）。</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、其它文件等。</w:t>
      </w:r>
    </w:p>
    <w:p w:rsidR="009C3DC1" w:rsidRDefault="009B029D">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四、图纸及工程量计算中的相关说明</w:t>
      </w:r>
    </w:p>
    <w:p w:rsidR="009C3DC1" w:rsidRDefault="009B029D">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1</w:t>
      </w:r>
      <w:r>
        <w:rPr>
          <w:rFonts w:ascii="华文楷体" w:eastAsia="华文楷体" w:hAnsi="华文楷体" w:cs="华文楷体" w:hint="eastAsia"/>
          <w:kern w:val="2"/>
          <w:sz w:val="28"/>
          <w:szCs w:val="28"/>
        </w:rPr>
        <w:t>、通用部分</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）投标人在投标报价时结合现场实际情况考虑施工防护安全。</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）本工程所需报验、报检费用甲方不予承担，投标人自行考虑计入投标报价；</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lastRenderedPageBreak/>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措施费项目投标单位可自行增添内容，自行报价，未计</w:t>
      </w:r>
      <w:proofErr w:type="gramStart"/>
      <w:r>
        <w:rPr>
          <w:rFonts w:ascii="华文楷体" w:eastAsia="华文楷体" w:hAnsi="华文楷体" w:cs="华文楷体" w:hint="eastAsia"/>
          <w:sz w:val="28"/>
          <w:szCs w:val="28"/>
          <w:lang w:val="zh-CN"/>
        </w:rPr>
        <w:t>放部分</w:t>
      </w:r>
      <w:proofErr w:type="gramEnd"/>
      <w:r>
        <w:rPr>
          <w:rFonts w:ascii="华文楷体" w:eastAsia="华文楷体" w:hAnsi="华文楷体" w:cs="华文楷体" w:hint="eastAsia"/>
          <w:sz w:val="28"/>
          <w:szCs w:val="28"/>
          <w:lang w:val="zh-CN"/>
        </w:rPr>
        <w:t>按优惠考虑，结算时不再调整，投标人在报价中应充分考虑所涉及的各项措施费及风险因素后再进行报价，</w:t>
      </w:r>
      <w:r>
        <w:rPr>
          <w:rFonts w:ascii="华文楷体" w:eastAsia="华文楷体" w:hAnsi="华文楷体" w:cs="华文楷体" w:hint="eastAsia"/>
          <w:sz w:val="28"/>
          <w:szCs w:val="28"/>
        </w:rPr>
        <w:t>不可竞争费按规定报价</w:t>
      </w:r>
      <w:r>
        <w:rPr>
          <w:rFonts w:ascii="华文楷体" w:eastAsia="华文楷体" w:hAnsi="华文楷体" w:cs="华文楷体" w:hint="eastAsia"/>
          <w:sz w:val="28"/>
          <w:szCs w:val="28"/>
          <w:lang w:val="zh-CN"/>
        </w:rPr>
        <w:t>；</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施工现场、交通运输情况及自然地理条件由投标人自行现场勘察，应充分考虑本工程场地现状的特点，可能对工程施工造成的影响并由此增加的费用等，做出</w:t>
      </w:r>
      <w:proofErr w:type="gramStart"/>
      <w:r>
        <w:rPr>
          <w:rFonts w:ascii="华文楷体" w:eastAsia="华文楷体" w:hAnsi="华文楷体" w:cs="华文楷体" w:hint="eastAsia"/>
          <w:sz w:val="28"/>
          <w:szCs w:val="28"/>
          <w:lang w:val="zh-CN"/>
        </w:rPr>
        <w:t>考量</w:t>
      </w:r>
      <w:proofErr w:type="gramEnd"/>
      <w:r>
        <w:rPr>
          <w:rFonts w:ascii="华文楷体" w:eastAsia="华文楷体" w:hAnsi="华文楷体" w:cs="华文楷体" w:hint="eastAsia"/>
          <w:sz w:val="28"/>
          <w:szCs w:val="28"/>
          <w:lang w:val="zh-CN"/>
        </w:rPr>
        <w:t>一并考虑在投标报价中；</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清单</w:t>
      </w:r>
      <w:proofErr w:type="gramStart"/>
      <w:r>
        <w:rPr>
          <w:rFonts w:ascii="华文楷体" w:eastAsia="华文楷体" w:hAnsi="华文楷体" w:cs="华文楷体" w:hint="eastAsia"/>
          <w:sz w:val="28"/>
          <w:szCs w:val="28"/>
          <w:lang w:val="zh-CN"/>
        </w:rPr>
        <w:t>中项目</w:t>
      </w:r>
      <w:proofErr w:type="gramEnd"/>
      <w:r>
        <w:rPr>
          <w:rFonts w:ascii="华文楷体" w:eastAsia="华文楷体" w:hAnsi="华文楷体" w:cs="华文楷体" w:hint="eastAsia"/>
          <w:sz w:val="28"/>
          <w:szCs w:val="28"/>
          <w:lang w:val="zh-CN"/>
        </w:rPr>
        <w:t>特征描述</w:t>
      </w:r>
      <w:r>
        <w:rPr>
          <w:rFonts w:ascii="华文楷体" w:eastAsia="华文楷体" w:hAnsi="华文楷体" w:cs="华文楷体" w:hint="eastAsia"/>
          <w:sz w:val="28"/>
          <w:szCs w:val="28"/>
        </w:rPr>
        <w:t>清单的主要特征，</w:t>
      </w:r>
      <w:r>
        <w:rPr>
          <w:rFonts w:ascii="华文楷体" w:eastAsia="华文楷体" w:hAnsi="华文楷体" w:cs="华文楷体" w:hint="eastAsia"/>
          <w:sz w:val="28"/>
          <w:szCs w:val="28"/>
          <w:lang w:val="zh-CN"/>
        </w:rPr>
        <w:t>投标报价时应考虑</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所示施工要求等一切费用；</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工程量清单应与招标文件、招标项目</w:t>
      </w:r>
      <w:r>
        <w:rPr>
          <w:rFonts w:ascii="华文楷体" w:eastAsia="华文楷体" w:hAnsi="华文楷体" w:cs="华文楷体" w:hint="eastAsia"/>
          <w:sz w:val="28"/>
          <w:szCs w:val="28"/>
        </w:rPr>
        <w:t>其它</w:t>
      </w:r>
      <w:r>
        <w:rPr>
          <w:rFonts w:ascii="华文楷体" w:eastAsia="华文楷体" w:hAnsi="华文楷体" w:cs="华文楷体" w:hint="eastAsia"/>
          <w:sz w:val="28"/>
          <w:szCs w:val="28"/>
          <w:lang w:val="zh-CN"/>
        </w:rPr>
        <w:t>文件结合起来查阅与理解。工程量清单中</w:t>
      </w:r>
      <w:r>
        <w:rPr>
          <w:rFonts w:ascii="华文楷体" w:eastAsia="华文楷体" w:hAnsi="华文楷体" w:cs="华文楷体" w:hint="eastAsia"/>
          <w:sz w:val="28"/>
          <w:szCs w:val="28"/>
          <w:lang w:val="zh-CN"/>
        </w:rPr>
        <w:t>所描述的项目特征仅为招标人对该分部分项目工程特征的概述，而非是工程特征的全面描述，报价时必须按施工</w:t>
      </w:r>
      <w:r>
        <w:rPr>
          <w:rFonts w:ascii="华文楷体" w:eastAsia="华文楷体" w:hAnsi="华文楷体" w:cs="华文楷体" w:hint="eastAsia"/>
          <w:sz w:val="28"/>
          <w:szCs w:val="28"/>
        </w:rPr>
        <w:t>现场实际情况</w:t>
      </w:r>
      <w:r>
        <w:rPr>
          <w:rFonts w:ascii="华文楷体" w:eastAsia="华文楷体" w:hAnsi="华文楷体" w:cs="华文楷体" w:hint="eastAsia"/>
          <w:sz w:val="28"/>
          <w:szCs w:val="28"/>
          <w:lang w:val="zh-CN"/>
        </w:rPr>
        <w:t>及相关的国家规范的要求。</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7</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投标人在投标文件中应明确主要材料所报的品牌、规格型号及厂家，包括招标文件和工程量清单编制说明中已经列明的品牌或投标人自报材料的品牌，否则招标人有权对没有</w:t>
      </w:r>
      <w:proofErr w:type="gramStart"/>
      <w:r>
        <w:rPr>
          <w:rFonts w:ascii="华文楷体" w:eastAsia="华文楷体" w:hAnsi="华文楷体" w:cs="华文楷体" w:hint="eastAsia"/>
          <w:sz w:val="28"/>
          <w:szCs w:val="28"/>
          <w:lang w:val="zh-CN"/>
        </w:rPr>
        <w:t>报品牌</w:t>
      </w:r>
      <w:proofErr w:type="gramEnd"/>
      <w:r>
        <w:rPr>
          <w:rFonts w:ascii="华文楷体" w:eastAsia="华文楷体" w:hAnsi="华文楷体" w:cs="华文楷体" w:hint="eastAsia"/>
          <w:sz w:val="28"/>
          <w:szCs w:val="28"/>
          <w:lang w:val="zh-CN"/>
        </w:rPr>
        <w:t>的主要材料指定相应的品牌，投标人无权拒绝。</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lang w:val="zh-CN"/>
        </w:rPr>
        <w:t>（</w:t>
      </w:r>
      <w:r>
        <w:rPr>
          <w:rFonts w:ascii="华文楷体" w:eastAsia="华文楷体" w:hAnsi="华文楷体" w:cs="华文楷体" w:hint="eastAsia"/>
          <w:sz w:val="28"/>
          <w:szCs w:val="28"/>
        </w:rPr>
        <w:t>8</w:t>
      </w:r>
      <w:r>
        <w:rPr>
          <w:rFonts w:ascii="华文楷体" w:eastAsia="华文楷体" w:hAnsi="华文楷体" w:cs="华文楷体" w:hint="eastAsia"/>
          <w:sz w:val="28"/>
          <w:szCs w:val="28"/>
          <w:lang w:val="zh-CN"/>
        </w:rPr>
        <w:t>）</w:t>
      </w:r>
      <w:r>
        <w:rPr>
          <w:rFonts w:ascii="华文楷体" w:eastAsia="华文楷体" w:hAnsi="华文楷体" w:cs="华文楷体" w:hint="eastAsia"/>
          <w:sz w:val="28"/>
          <w:szCs w:val="28"/>
        </w:rPr>
        <w:t>疫情期间产生的防疫措施产生费用施工单位自行考虑。</w:t>
      </w:r>
    </w:p>
    <w:p w:rsidR="009C3DC1" w:rsidRDefault="009B029D">
      <w:pPr>
        <w:spacing w:line="360" w:lineRule="auto"/>
        <w:ind w:firstLineChars="228" w:firstLine="638"/>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、装饰部分</w:t>
      </w:r>
    </w:p>
    <w:p w:rsidR="009C3DC1" w:rsidRDefault="009B029D">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）窗户采购前需提供小样，经业主认可且满足相关规范标准要求后方可采购安装。</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）窗套安装基层处理工序投标人应在窗套安装子目中综合考虑，结算时此部分费用不予调整。</w:t>
      </w:r>
    </w:p>
    <w:p w:rsidR="009C3DC1" w:rsidRDefault="009B029D">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lastRenderedPageBreak/>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）所有防火窗均采用整块防火玻璃。</w:t>
      </w:r>
    </w:p>
    <w:p w:rsidR="009C3DC1" w:rsidRDefault="009B029D">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五、主要材料设备</w:t>
      </w:r>
    </w:p>
    <w:p w:rsidR="009C3DC1" w:rsidRDefault="009B029D">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（一）投标人负责采购的主要材料设备</w:t>
      </w:r>
    </w:p>
    <w:p w:rsidR="009C3DC1" w:rsidRDefault="009B029D">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9C3DC1" w:rsidRDefault="009B029D">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、主要材料品牌推荐表如下：</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4"/>
        <w:gridCol w:w="1219"/>
        <w:gridCol w:w="2067"/>
        <w:gridCol w:w="4700"/>
        <w:gridCol w:w="1026"/>
      </w:tblGrid>
      <w:tr w:rsidR="009C3DC1">
        <w:trPr>
          <w:trHeight w:val="499"/>
        </w:trPr>
        <w:tc>
          <w:tcPr>
            <w:tcW w:w="434" w:type="dxa"/>
            <w:shd w:val="clear" w:color="auto" w:fill="auto"/>
            <w:tcMar>
              <w:top w:w="12" w:type="dxa"/>
              <w:left w:w="12" w:type="dxa"/>
              <w:right w:w="12" w:type="dxa"/>
            </w:tcMar>
            <w:vAlign w:val="center"/>
          </w:tcPr>
          <w:p w:rsidR="009C3DC1" w:rsidRDefault="009B029D">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序号</w:t>
            </w:r>
          </w:p>
        </w:tc>
        <w:tc>
          <w:tcPr>
            <w:tcW w:w="1219" w:type="dxa"/>
            <w:shd w:val="clear" w:color="auto" w:fill="auto"/>
            <w:tcMar>
              <w:top w:w="12" w:type="dxa"/>
              <w:left w:w="12" w:type="dxa"/>
              <w:right w:w="12" w:type="dxa"/>
            </w:tcMar>
            <w:vAlign w:val="center"/>
          </w:tcPr>
          <w:p w:rsidR="009C3DC1" w:rsidRDefault="009B029D">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材料设备名称</w:t>
            </w:r>
          </w:p>
        </w:tc>
        <w:tc>
          <w:tcPr>
            <w:tcW w:w="2067" w:type="dxa"/>
            <w:shd w:val="clear" w:color="auto" w:fill="auto"/>
            <w:tcMar>
              <w:top w:w="12" w:type="dxa"/>
              <w:left w:w="12" w:type="dxa"/>
              <w:right w:w="12" w:type="dxa"/>
            </w:tcMar>
            <w:vAlign w:val="center"/>
          </w:tcPr>
          <w:p w:rsidR="009C3DC1" w:rsidRDefault="009B029D">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推荐品牌</w:t>
            </w:r>
          </w:p>
        </w:tc>
        <w:tc>
          <w:tcPr>
            <w:tcW w:w="4700" w:type="dxa"/>
            <w:shd w:val="clear" w:color="auto" w:fill="auto"/>
            <w:tcMar>
              <w:top w:w="12" w:type="dxa"/>
              <w:left w:w="12" w:type="dxa"/>
              <w:right w:w="12" w:type="dxa"/>
            </w:tcMar>
            <w:vAlign w:val="center"/>
          </w:tcPr>
          <w:p w:rsidR="009C3DC1" w:rsidRDefault="009B029D">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生产商全称</w:t>
            </w:r>
          </w:p>
        </w:tc>
        <w:tc>
          <w:tcPr>
            <w:tcW w:w="1026" w:type="dxa"/>
            <w:shd w:val="clear" w:color="auto" w:fill="auto"/>
            <w:tcMar>
              <w:top w:w="12" w:type="dxa"/>
              <w:left w:w="12" w:type="dxa"/>
              <w:right w:w="12" w:type="dxa"/>
            </w:tcMar>
            <w:vAlign w:val="center"/>
          </w:tcPr>
          <w:p w:rsidR="009C3DC1" w:rsidRDefault="009B029D">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备注</w:t>
            </w:r>
          </w:p>
        </w:tc>
      </w:tr>
      <w:tr w:rsidR="009C3DC1">
        <w:trPr>
          <w:trHeight w:val="499"/>
        </w:trPr>
        <w:tc>
          <w:tcPr>
            <w:tcW w:w="434" w:type="dxa"/>
            <w:vMerge w:val="restart"/>
            <w:shd w:val="clear" w:color="auto" w:fill="auto"/>
            <w:tcMar>
              <w:top w:w="12" w:type="dxa"/>
              <w:left w:w="12" w:type="dxa"/>
              <w:right w:w="12" w:type="dxa"/>
            </w:tcMar>
            <w:vAlign w:val="center"/>
          </w:tcPr>
          <w:p w:rsidR="009C3DC1" w:rsidRDefault="009B029D">
            <w:pPr>
              <w:jc w:val="center"/>
              <w:rPr>
                <w:rFonts w:ascii="华文楷体" w:eastAsia="华文楷体" w:hAnsi="华文楷体" w:cs="华文楷体"/>
                <w:sz w:val="28"/>
                <w:szCs w:val="28"/>
              </w:rPr>
            </w:pPr>
            <w:r>
              <w:rPr>
                <w:rFonts w:ascii="宋体" w:eastAsia="宋体" w:hAnsi="宋体" w:cs="宋体" w:hint="eastAsia"/>
                <w:color w:val="000000"/>
                <w:kern w:val="0"/>
                <w:sz w:val="20"/>
                <w:szCs w:val="20"/>
                <w:lang w:bidi="ar"/>
              </w:rPr>
              <w:t>1</w:t>
            </w:r>
          </w:p>
        </w:tc>
        <w:tc>
          <w:tcPr>
            <w:tcW w:w="1219" w:type="dxa"/>
            <w:vMerge w:val="restart"/>
            <w:shd w:val="clear" w:color="auto" w:fill="auto"/>
            <w:tcMar>
              <w:top w:w="12" w:type="dxa"/>
              <w:left w:w="12" w:type="dxa"/>
              <w:right w:w="12" w:type="dxa"/>
            </w:tcMar>
            <w:vAlign w:val="center"/>
          </w:tcPr>
          <w:p w:rsidR="009C3DC1" w:rsidRDefault="009B029D">
            <w:pPr>
              <w:jc w:val="center"/>
              <w:rPr>
                <w:rFonts w:ascii="华文楷体" w:eastAsia="华文楷体" w:hAnsi="华文楷体" w:cs="华文楷体"/>
                <w:color w:val="000000" w:themeColor="text1"/>
                <w:kern w:val="0"/>
                <w:sz w:val="28"/>
                <w:szCs w:val="28"/>
                <w:lang w:bidi="ar"/>
              </w:rPr>
            </w:pPr>
            <w:r>
              <w:rPr>
                <w:rFonts w:ascii="宋体" w:eastAsia="宋体" w:hAnsi="宋体" w:cs="宋体" w:hint="eastAsia"/>
                <w:color w:val="000000"/>
                <w:kern w:val="0"/>
                <w:sz w:val="20"/>
                <w:szCs w:val="20"/>
                <w:lang w:bidi="ar"/>
              </w:rPr>
              <w:t>铝合金门窗</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型材）</w:t>
            </w:r>
          </w:p>
        </w:tc>
        <w:tc>
          <w:tcPr>
            <w:tcW w:w="2067" w:type="dxa"/>
            <w:shd w:val="clear" w:color="auto" w:fill="auto"/>
            <w:tcMar>
              <w:top w:w="12" w:type="dxa"/>
              <w:left w:w="12" w:type="dxa"/>
              <w:right w:w="12" w:type="dxa"/>
            </w:tcMar>
            <w:vAlign w:val="center"/>
          </w:tcPr>
          <w:p w:rsidR="009C3DC1" w:rsidRDefault="009B029D">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亚铝</w:t>
            </w:r>
            <w:proofErr w:type="gramEnd"/>
          </w:p>
        </w:tc>
        <w:tc>
          <w:tcPr>
            <w:tcW w:w="4700" w:type="dxa"/>
            <w:shd w:val="clear" w:color="auto" w:fill="auto"/>
            <w:tcMar>
              <w:top w:w="12" w:type="dxa"/>
              <w:left w:w="12" w:type="dxa"/>
              <w:right w:w="12" w:type="dxa"/>
            </w:tcMar>
            <w:vAlign w:val="center"/>
          </w:tcPr>
          <w:p w:rsidR="009C3DC1" w:rsidRDefault="009B029D">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亚洲铝业集团有限公司</w:t>
            </w:r>
          </w:p>
        </w:tc>
        <w:tc>
          <w:tcPr>
            <w:tcW w:w="1026" w:type="dxa"/>
            <w:shd w:val="clear" w:color="auto" w:fill="auto"/>
            <w:tcMar>
              <w:top w:w="12" w:type="dxa"/>
              <w:left w:w="12" w:type="dxa"/>
              <w:right w:w="12" w:type="dxa"/>
            </w:tcMar>
            <w:vAlign w:val="center"/>
          </w:tcPr>
          <w:p w:rsidR="009C3DC1" w:rsidRDefault="009C3DC1">
            <w:pPr>
              <w:widowControl/>
              <w:jc w:val="center"/>
              <w:textAlignment w:val="center"/>
              <w:rPr>
                <w:rFonts w:ascii="华文楷体" w:eastAsia="华文楷体" w:hAnsi="华文楷体" w:cs="华文楷体"/>
                <w:sz w:val="28"/>
                <w:szCs w:val="28"/>
              </w:rPr>
            </w:pPr>
          </w:p>
        </w:tc>
      </w:tr>
      <w:tr w:rsidR="009C3DC1">
        <w:trPr>
          <w:trHeight w:val="499"/>
        </w:trPr>
        <w:tc>
          <w:tcPr>
            <w:tcW w:w="434" w:type="dxa"/>
            <w:vMerge/>
            <w:shd w:val="clear" w:color="auto" w:fill="auto"/>
            <w:tcMar>
              <w:top w:w="12" w:type="dxa"/>
              <w:left w:w="12" w:type="dxa"/>
              <w:right w:w="12" w:type="dxa"/>
            </w:tcMar>
            <w:vAlign w:val="center"/>
          </w:tcPr>
          <w:p w:rsidR="009C3DC1" w:rsidRDefault="009C3DC1">
            <w:pPr>
              <w:jc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9C3DC1" w:rsidRDefault="009C3DC1">
            <w:pPr>
              <w:jc w:val="center"/>
              <w:rPr>
                <w:rFonts w:ascii="华文楷体" w:eastAsia="华文楷体" w:hAnsi="华文楷体" w:cs="华文楷体"/>
                <w:color w:val="000000" w:themeColor="text1"/>
                <w:kern w:val="0"/>
                <w:sz w:val="28"/>
                <w:szCs w:val="28"/>
                <w:lang w:bidi="ar"/>
              </w:rPr>
            </w:pPr>
          </w:p>
        </w:tc>
        <w:tc>
          <w:tcPr>
            <w:tcW w:w="2067" w:type="dxa"/>
            <w:shd w:val="clear" w:color="auto" w:fill="auto"/>
            <w:tcMar>
              <w:top w:w="12" w:type="dxa"/>
              <w:left w:w="12" w:type="dxa"/>
              <w:right w:w="12" w:type="dxa"/>
            </w:tcMar>
            <w:vAlign w:val="center"/>
          </w:tcPr>
          <w:p w:rsidR="009C3DC1" w:rsidRDefault="009B029D">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凤铝</w:t>
            </w:r>
            <w:proofErr w:type="gramEnd"/>
          </w:p>
        </w:tc>
        <w:tc>
          <w:tcPr>
            <w:tcW w:w="4700" w:type="dxa"/>
            <w:shd w:val="clear" w:color="auto" w:fill="auto"/>
            <w:tcMar>
              <w:top w:w="12" w:type="dxa"/>
              <w:left w:w="12" w:type="dxa"/>
              <w:right w:w="12" w:type="dxa"/>
            </w:tcMar>
            <w:vAlign w:val="center"/>
          </w:tcPr>
          <w:p w:rsidR="009C3DC1" w:rsidRDefault="009B029D">
            <w:pPr>
              <w:widowControl/>
              <w:jc w:val="center"/>
              <w:textAlignment w:val="center"/>
              <w:rPr>
                <w:rFonts w:ascii="宋体" w:eastAsia="宋体" w:hAnsi="宋体" w:cs="宋体"/>
                <w:color w:val="000000"/>
                <w:kern w:val="0"/>
                <w:sz w:val="20"/>
                <w:szCs w:val="20"/>
                <w:lang w:bidi="ar"/>
              </w:rPr>
            </w:pPr>
            <w:bookmarkStart w:id="0" w:name="_GoBack"/>
            <w:bookmarkEnd w:id="0"/>
            <w:r>
              <w:rPr>
                <w:rFonts w:ascii="宋体" w:eastAsia="宋体" w:hAnsi="宋体" w:cs="宋体" w:hint="eastAsia"/>
                <w:color w:val="000000"/>
                <w:kern w:val="0"/>
                <w:sz w:val="20"/>
                <w:szCs w:val="20"/>
                <w:lang w:bidi="ar"/>
              </w:rPr>
              <w:t>广东凤铝铝业有限公司</w:t>
            </w:r>
          </w:p>
        </w:tc>
        <w:tc>
          <w:tcPr>
            <w:tcW w:w="1026" w:type="dxa"/>
            <w:shd w:val="clear" w:color="auto" w:fill="auto"/>
            <w:tcMar>
              <w:top w:w="12" w:type="dxa"/>
              <w:left w:w="12" w:type="dxa"/>
              <w:right w:w="12" w:type="dxa"/>
            </w:tcMar>
            <w:vAlign w:val="center"/>
          </w:tcPr>
          <w:p w:rsidR="009C3DC1" w:rsidRDefault="009C3DC1">
            <w:pPr>
              <w:widowControl/>
              <w:jc w:val="center"/>
              <w:textAlignment w:val="center"/>
              <w:rPr>
                <w:rFonts w:ascii="华文楷体" w:eastAsia="华文楷体" w:hAnsi="华文楷体" w:cs="华文楷体"/>
                <w:sz w:val="28"/>
                <w:szCs w:val="28"/>
              </w:rPr>
            </w:pPr>
          </w:p>
        </w:tc>
      </w:tr>
      <w:tr w:rsidR="009C3DC1">
        <w:trPr>
          <w:trHeight w:val="499"/>
        </w:trPr>
        <w:tc>
          <w:tcPr>
            <w:tcW w:w="434" w:type="dxa"/>
            <w:vMerge/>
            <w:shd w:val="clear" w:color="auto" w:fill="auto"/>
            <w:tcMar>
              <w:top w:w="12" w:type="dxa"/>
              <w:left w:w="12" w:type="dxa"/>
              <w:right w:w="12" w:type="dxa"/>
            </w:tcMar>
            <w:vAlign w:val="center"/>
          </w:tcPr>
          <w:p w:rsidR="009C3DC1" w:rsidRDefault="009C3DC1">
            <w:pPr>
              <w:jc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9C3DC1" w:rsidRDefault="009C3DC1">
            <w:pPr>
              <w:jc w:val="center"/>
              <w:rPr>
                <w:rFonts w:ascii="华文楷体" w:eastAsia="华文楷体" w:hAnsi="华文楷体" w:cs="华文楷体"/>
                <w:color w:val="000000" w:themeColor="text1"/>
                <w:kern w:val="0"/>
                <w:sz w:val="28"/>
                <w:szCs w:val="28"/>
                <w:lang w:bidi="ar"/>
              </w:rPr>
            </w:pPr>
          </w:p>
        </w:tc>
        <w:tc>
          <w:tcPr>
            <w:tcW w:w="2067" w:type="dxa"/>
            <w:shd w:val="clear" w:color="auto" w:fill="auto"/>
            <w:tcMar>
              <w:top w:w="12" w:type="dxa"/>
              <w:left w:w="12" w:type="dxa"/>
              <w:right w:w="12" w:type="dxa"/>
            </w:tcMar>
            <w:vAlign w:val="center"/>
          </w:tcPr>
          <w:p w:rsidR="009C3DC1" w:rsidRDefault="009B029D">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栋梁</w:t>
            </w:r>
          </w:p>
        </w:tc>
        <w:tc>
          <w:tcPr>
            <w:tcW w:w="4700" w:type="dxa"/>
            <w:shd w:val="clear" w:color="auto" w:fill="auto"/>
            <w:tcMar>
              <w:top w:w="12" w:type="dxa"/>
              <w:left w:w="12" w:type="dxa"/>
              <w:right w:w="12" w:type="dxa"/>
            </w:tcMar>
            <w:vAlign w:val="center"/>
          </w:tcPr>
          <w:p w:rsidR="009C3DC1" w:rsidRDefault="009B029D">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浙江栋梁新材股份有限公司</w:t>
            </w:r>
          </w:p>
        </w:tc>
        <w:tc>
          <w:tcPr>
            <w:tcW w:w="1026" w:type="dxa"/>
            <w:shd w:val="clear" w:color="auto" w:fill="auto"/>
            <w:tcMar>
              <w:top w:w="12" w:type="dxa"/>
              <w:left w:w="12" w:type="dxa"/>
              <w:right w:w="12" w:type="dxa"/>
            </w:tcMar>
            <w:vAlign w:val="center"/>
          </w:tcPr>
          <w:p w:rsidR="009C3DC1" w:rsidRDefault="009C3DC1">
            <w:pPr>
              <w:widowControl/>
              <w:jc w:val="center"/>
              <w:textAlignment w:val="center"/>
              <w:rPr>
                <w:rFonts w:ascii="华文楷体" w:eastAsia="华文楷体" w:hAnsi="华文楷体" w:cs="华文楷体"/>
                <w:sz w:val="28"/>
                <w:szCs w:val="28"/>
              </w:rPr>
            </w:pPr>
          </w:p>
        </w:tc>
      </w:tr>
    </w:tbl>
    <w:p w:rsidR="009C3DC1" w:rsidRDefault="009C3DC1">
      <w:pPr>
        <w:spacing w:line="360" w:lineRule="auto"/>
        <w:rPr>
          <w:rFonts w:ascii="华文楷体" w:eastAsia="华文楷体" w:hAnsi="华文楷体" w:cs="华文楷体"/>
          <w:sz w:val="28"/>
          <w:szCs w:val="28"/>
        </w:rPr>
      </w:pPr>
    </w:p>
    <w:p w:rsidR="009C3DC1" w:rsidRDefault="009B029D">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、主要材料技术标准和质量要求如下：</w:t>
      </w:r>
    </w:p>
    <w:p w:rsidR="009C3DC1" w:rsidRDefault="009B029D">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本技术条件是最低限度的技术要求，并未对一切技术细节</w:t>
      </w:r>
      <w:proofErr w:type="gramStart"/>
      <w:r>
        <w:rPr>
          <w:rFonts w:ascii="华文楷体" w:eastAsia="华文楷体" w:hAnsi="华文楷体" w:cs="华文楷体" w:hint="eastAsia"/>
          <w:sz w:val="28"/>
          <w:szCs w:val="28"/>
        </w:rPr>
        <w:t>作出</w:t>
      </w:r>
      <w:proofErr w:type="gramEnd"/>
      <w:r>
        <w:rPr>
          <w:rFonts w:ascii="华文楷体" w:eastAsia="华文楷体" w:hAnsi="华文楷体" w:cs="华文楷体" w:hint="eastAsia"/>
          <w:sz w:val="28"/>
          <w:szCs w:val="28"/>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w:t>
      </w:r>
      <w:r>
        <w:rPr>
          <w:rFonts w:ascii="华文楷体" w:eastAsia="华文楷体" w:hAnsi="华文楷体" w:cs="华文楷体" w:hint="eastAsia"/>
          <w:sz w:val="28"/>
          <w:szCs w:val="28"/>
        </w:rPr>
        <w:lastRenderedPageBreak/>
        <w:t>准。</w:t>
      </w:r>
    </w:p>
    <w:p w:rsidR="009C3DC1" w:rsidRDefault="009B029D">
      <w:pPr>
        <w:numPr>
          <w:ilvl w:val="0"/>
          <w:numId w:val="2"/>
        </w:numPr>
        <w:spacing w:line="360" w:lineRule="auto"/>
        <w:ind w:firstLineChars="200" w:firstLine="560"/>
        <w:rPr>
          <w:rFonts w:ascii="华文楷体" w:eastAsia="华文楷体" w:hAnsi="华文楷体" w:cs="华文楷体"/>
          <w:b/>
          <w:bCs/>
          <w:sz w:val="28"/>
          <w:szCs w:val="28"/>
        </w:rPr>
      </w:pPr>
      <w:r>
        <w:rPr>
          <w:rFonts w:ascii="华文楷体" w:eastAsia="华文楷体" w:hAnsi="华文楷体" w:cs="华文楷体" w:hint="eastAsia"/>
          <w:sz w:val="28"/>
          <w:szCs w:val="28"/>
        </w:rPr>
        <w:t>招标人自行采购的主要材料设备</w:t>
      </w:r>
      <w:r>
        <w:rPr>
          <w:rFonts w:ascii="华文楷体" w:eastAsia="华文楷体" w:hAnsi="华文楷体" w:cs="华文楷体" w:hint="eastAsia"/>
          <w:color w:val="000000" w:themeColor="text1"/>
          <w:sz w:val="28"/>
          <w:szCs w:val="28"/>
        </w:rPr>
        <w:t>：</w:t>
      </w:r>
      <w:r>
        <w:rPr>
          <w:rFonts w:ascii="华文楷体" w:eastAsia="华文楷体" w:hAnsi="华文楷体" w:cs="华文楷体" w:hint="eastAsia"/>
          <w:sz w:val="28"/>
          <w:szCs w:val="28"/>
        </w:rPr>
        <w:t>无。</w:t>
      </w:r>
    </w:p>
    <w:p w:rsidR="009C3DC1" w:rsidRDefault="009B029D">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六、其他说明</w:t>
      </w:r>
    </w:p>
    <w:p w:rsidR="009C3DC1" w:rsidRDefault="009B029D">
      <w:pPr>
        <w:spacing w:line="360" w:lineRule="auto"/>
        <w:ind w:firstLineChars="200" w:firstLine="560"/>
        <w:rPr>
          <w:rFonts w:ascii="华文楷体" w:eastAsia="华文楷体" w:hAnsi="华文楷体" w:cs="华文楷体"/>
          <w:color w:val="FF0000"/>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、投标人应在认真理解和熟悉招标文件，经现场踏勘后，综合考虑清单中各分部分项工程包括管理费、利润、风险费、</w:t>
      </w:r>
      <w:proofErr w:type="gramStart"/>
      <w:r>
        <w:rPr>
          <w:rFonts w:ascii="华文楷体" w:eastAsia="华文楷体" w:hAnsi="华文楷体" w:cs="华文楷体" w:hint="eastAsia"/>
          <w:sz w:val="28"/>
          <w:szCs w:val="28"/>
        </w:rPr>
        <w:t>规</w:t>
      </w:r>
      <w:proofErr w:type="gramEnd"/>
      <w:r>
        <w:rPr>
          <w:rFonts w:ascii="华文楷体" w:eastAsia="华文楷体" w:hAnsi="华文楷体" w:cs="华文楷体" w:hint="eastAsia"/>
          <w:sz w:val="28"/>
          <w:szCs w:val="28"/>
        </w:rPr>
        <w:t>费、税金等全部费用清单报价，无论清单特征中是否描述，投标人综合单价均应包含完成本清单项目所有工作内容的费用。</w:t>
      </w:r>
    </w:p>
    <w:p w:rsidR="009C3DC1" w:rsidRDefault="009B029D">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各投标人在进行综合报价时必须结合招标文件中的相关条款及清单描述进行报价，清单子目中未能对各节点进行完全性描述的必须结合实际情况详细节点进行报价，否则视为已计入相应项目综合单价内，中标后将不调整综合单价。若招标文件中相关条款及清单描述有冲突的，投标人应在“澄清答疑”环节中向招标人提出，招标人</w:t>
      </w:r>
      <w:r>
        <w:rPr>
          <w:rFonts w:ascii="华文楷体" w:eastAsia="华文楷体" w:hAnsi="华文楷体" w:cs="华文楷体" w:hint="eastAsia"/>
          <w:sz w:val="28"/>
          <w:szCs w:val="28"/>
        </w:rPr>
        <w:t>将在“澄清答疑”环节中答复；投标人未在“澄清答疑”环节提出的，则最终解释权归属于招标人。</w:t>
      </w:r>
    </w:p>
    <w:sectPr w:rsidR="009C3DC1">
      <w:pgSz w:w="11906" w:h="16838"/>
      <w:pgMar w:top="1440" w:right="1286" w:bottom="1440" w:left="13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default"/>
    <w:sig w:usb0="0000028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386A48"/>
    <w:multiLevelType w:val="singleLevel"/>
    <w:tmpl w:val="C7386A48"/>
    <w:lvl w:ilvl="0">
      <w:start w:val="1"/>
      <w:numFmt w:val="chineseCounting"/>
      <w:suff w:val="nothing"/>
      <w:lvlText w:val="%1、"/>
      <w:lvlJc w:val="left"/>
      <w:rPr>
        <w:rFonts w:hint="eastAsia"/>
      </w:rPr>
    </w:lvl>
  </w:abstractNum>
  <w:abstractNum w:abstractNumId="1">
    <w:nsid w:val="2AEB87CD"/>
    <w:multiLevelType w:val="singleLevel"/>
    <w:tmpl w:val="2AEB87CD"/>
    <w:lvl w:ilvl="0">
      <w:start w:val="2"/>
      <w:numFmt w:val="chineseCounting"/>
      <w:suff w:val="nothing"/>
      <w:lvlText w:val="（%1）"/>
      <w:lvlJc w:val="left"/>
      <w:rPr>
        <w:rFonts w:hint="eastAsia"/>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1NzAxNmNlNGRhOGRkYTc3ZjM4OWZhYjZhMzIzMzIifQ=="/>
  </w:docVars>
  <w:rsids>
    <w:rsidRoot w:val="00E80598"/>
    <w:rsid w:val="00003B10"/>
    <w:rsid w:val="00070CA5"/>
    <w:rsid w:val="000878B4"/>
    <w:rsid w:val="00094F0E"/>
    <w:rsid w:val="000C5F5E"/>
    <w:rsid w:val="00130701"/>
    <w:rsid w:val="00181913"/>
    <w:rsid w:val="001D3A5E"/>
    <w:rsid w:val="001F5DF7"/>
    <w:rsid w:val="00204723"/>
    <w:rsid w:val="00224361"/>
    <w:rsid w:val="00350785"/>
    <w:rsid w:val="003C551D"/>
    <w:rsid w:val="003D4DFA"/>
    <w:rsid w:val="0041308F"/>
    <w:rsid w:val="00457557"/>
    <w:rsid w:val="00462E4D"/>
    <w:rsid w:val="004A69EC"/>
    <w:rsid w:val="004C3E75"/>
    <w:rsid w:val="004E1038"/>
    <w:rsid w:val="005453BC"/>
    <w:rsid w:val="005733F8"/>
    <w:rsid w:val="00587E4B"/>
    <w:rsid w:val="005C7A6B"/>
    <w:rsid w:val="005E3FDB"/>
    <w:rsid w:val="006035F5"/>
    <w:rsid w:val="006252DA"/>
    <w:rsid w:val="006A6281"/>
    <w:rsid w:val="006D6139"/>
    <w:rsid w:val="006E0A43"/>
    <w:rsid w:val="006F1DF0"/>
    <w:rsid w:val="00714E36"/>
    <w:rsid w:val="00716093"/>
    <w:rsid w:val="00770FE5"/>
    <w:rsid w:val="00777DEA"/>
    <w:rsid w:val="00784A79"/>
    <w:rsid w:val="00792C2E"/>
    <w:rsid w:val="007E7818"/>
    <w:rsid w:val="007F7C1D"/>
    <w:rsid w:val="00847CE5"/>
    <w:rsid w:val="00850ECA"/>
    <w:rsid w:val="00855A30"/>
    <w:rsid w:val="008964D1"/>
    <w:rsid w:val="009220B0"/>
    <w:rsid w:val="009B029D"/>
    <w:rsid w:val="009C2E62"/>
    <w:rsid w:val="009C3DC1"/>
    <w:rsid w:val="009F7256"/>
    <w:rsid w:val="00A36EEF"/>
    <w:rsid w:val="00A63FC9"/>
    <w:rsid w:val="00AB037F"/>
    <w:rsid w:val="00AB5606"/>
    <w:rsid w:val="00AC1EED"/>
    <w:rsid w:val="00AF6A71"/>
    <w:rsid w:val="00B276BE"/>
    <w:rsid w:val="00B276F7"/>
    <w:rsid w:val="00B45773"/>
    <w:rsid w:val="00B46074"/>
    <w:rsid w:val="00C24412"/>
    <w:rsid w:val="00C30855"/>
    <w:rsid w:val="00C34BCE"/>
    <w:rsid w:val="00C36851"/>
    <w:rsid w:val="00C9616D"/>
    <w:rsid w:val="00CA1596"/>
    <w:rsid w:val="00CB729C"/>
    <w:rsid w:val="00CF11B3"/>
    <w:rsid w:val="00D53389"/>
    <w:rsid w:val="00E03455"/>
    <w:rsid w:val="00E80598"/>
    <w:rsid w:val="00E924B2"/>
    <w:rsid w:val="00EC599D"/>
    <w:rsid w:val="00ED2F94"/>
    <w:rsid w:val="00EE3AC7"/>
    <w:rsid w:val="00F106A9"/>
    <w:rsid w:val="00F35A42"/>
    <w:rsid w:val="00F637EC"/>
    <w:rsid w:val="00F86DE8"/>
    <w:rsid w:val="00FB6452"/>
    <w:rsid w:val="00FD2FBA"/>
    <w:rsid w:val="026423BC"/>
    <w:rsid w:val="041C6A8A"/>
    <w:rsid w:val="05637CE9"/>
    <w:rsid w:val="0840065C"/>
    <w:rsid w:val="093A3EEB"/>
    <w:rsid w:val="0AA00FFF"/>
    <w:rsid w:val="0CC139CA"/>
    <w:rsid w:val="0D071482"/>
    <w:rsid w:val="0E7618A5"/>
    <w:rsid w:val="0F424FA5"/>
    <w:rsid w:val="10291D80"/>
    <w:rsid w:val="12A83E03"/>
    <w:rsid w:val="13D97736"/>
    <w:rsid w:val="14E042C5"/>
    <w:rsid w:val="15803988"/>
    <w:rsid w:val="16CB38CE"/>
    <w:rsid w:val="16CC55E9"/>
    <w:rsid w:val="17CA0378"/>
    <w:rsid w:val="17E83B2A"/>
    <w:rsid w:val="1837402C"/>
    <w:rsid w:val="196827CF"/>
    <w:rsid w:val="21533141"/>
    <w:rsid w:val="22715C4D"/>
    <w:rsid w:val="22D80382"/>
    <w:rsid w:val="22F333EF"/>
    <w:rsid w:val="23656FC3"/>
    <w:rsid w:val="247875FE"/>
    <w:rsid w:val="24AC52B0"/>
    <w:rsid w:val="255F78C7"/>
    <w:rsid w:val="25F04FD6"/>
    <w:rsid w:val="2A115953"/>
    <w:rsid w:val="2AD07367"/>
    <w:rsid w:val="2BD22118"/>
    <w:rsid w:val="2E975217"/>
    <w:rsid w:val="2F204FF5"/>
    <w:rsid w:val="323F78FA"/>
    <w:rsid w:val="32CC7242"/>
    <w:rsid w:val="33F322A9"/>
    <w:rsid w:val="340B78F6"/>
    <w:rsid w:val="342045EA"/>
    <w:rsid w:val="36D80B92"/>
    <w:rsid w:val="383022C9"/>
    <w:rsid w:val="38DC5E86"/>
    <w:rsid w:val="398B73E2"/>
    <w:rsid w:val="39BA7CC0"/>
    <w:rsid w:val="3B1D4A86"/>
    <w:rsid w:val="3F8255AA"/>
    <w:rsid w:val="40660CAA"/>
    <w:rsid w:val="40B24332"/>
    <w:rsid w:val="414738E4"/>
    <w:rsid w:val="432A3E3A"/>
    <w:rsid w:val="438A3C39"/>
    <w:rsid w:val="43963680"/>
    <w:rsid w:val="44CE4762"/>
    <w:rsid w:val="455D3D20"/>
    <w:rsid w:val="46E65562"/>
    <w:rsid w:val="475D3B01"/>
    <w:rsid w:val="4A3939CF"/>
    <w:rsid w:val="4A60261A"/>
    <w:rsid w:val="4B5A580A"/>
    <w:rsid w:val="4CD23CFB"/>
    <w:rsid w:val="4DF950F2"/>
    <w:rsid w:val="4E5C5B33"/>
    <w:rsid w:val="4E86208F"/>
    <w:rsid w:val="4FC55C1D"/>
    <w:rsid w:val="514F6512"/>
    <w:rsid w:val="515907A5"/>
    <w:rsid w:val="54341495"/>
    <w:rsid w:val="54FF3FE7"/>
    <w:rsid w:val="563F1955"/>
    <w:rsid w:val="5785783C"/>
    <w:rsid w:val="584A1BD1"/>
    <w:rsid w:val="5B775DA6"/>
    <w:rsid w:val="5BCE5477"/>
    <w:rsid w:val="5E4775F9"/>
    <w:rsid w:val="5E880ED9"/>
    <w:rsid w:val="607139DB"/>
    <w:rsid w:val="6138082C"/>
    <w:rsid w:val="61DC6F7F"/>
    <w:rsid w:val="63AA2810"/>
    <w:rsid w:val="63B130AC"/>
    <w:rsid w:val="6417362C"/>
    <w:rsid w:val="64BC6497"/>
    <w:rsid w:val="64F4340D"/>
    <w:rsid w:val="6ABA2C10"/>
    <w:rsid w:val="6B6E1032"/>
    <w:rsid w:val="6B712C83"/>
    <w:rsid w:val="6C766FB1"/>
    <w:rsid w:val="6DA72690"/>
    <w:rsid w:val="6DAE46FA"/>
    <w:rsid w:val="6E407BC1"/>
    <w:rsid w:val="6FA554C1"/>
    <w:rsid w:val="706A75F7"/>
    <w:rsid w:val="7281066B"/>
    <w:rsid w:val="72CC1AE5"/>
    <w:rsid w:val="73B70FED"/>
    <w:rsid w:val="7ACC2F08"/>
    <w:rsid w:val="7BD858DD"/>
    <w:rsid w:val="7BD91F35"/>
    <w:rsid w:val="7CE77619"/>
    <w:rsid w:val="7DA2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陆金枝</cp:lastModifiedBy>
  <cp:revision>46</cp:revision>
  <dcterms:created xsi:type="dcterms:W3CDTF">2021-05-18T01:21:00Z</dcterms:created>
  <dcterms:modified xsi:type="dcterms:W3CDTF">2022-11-10T08:52:00Z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FE1C81D6C44F4BB7A33A73D09F36969E</vt:lpwstr>
  </property>
  <property fmtid="{D5CDD505-2E9C-101B-9397-08002B2CF9AE}" pid="4" name="commondata">
    <vt:lpwstr>eyJoZGlkIjoiMDJiNDFhOTIzOGI5MmJmZDU2ZDllMTkxMmYyYTVlNjMifQ==</vt:lpwstr>
  </property>
</Properties>
</file>