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autoSpaceDE w:val="0"/>
        <w:autoSpaceDN w:val="0"/>
        <w:adjustRightInd w:val="0"/>
        <w:spacing w:line="360" w:lineRule="auto"/>
        <w:ind w:firstLine="560" w:firstLineChars="200"/>
        <w:jc w:val="left"/>
        <w:rPr>
          <w:rFonts w:ascii="华文楷体" w:hAnsi="华文楷体" w:eastAsia="华文楷体" w:cs="华文楷体"/>
          <w:sz w:val="28"/>
          <w:szCs w:val="28"/>
          <w:highlight w:val="none"/>
        </w:rPr>
      </w:pPr>
      <w:r>
        <w:rPr>
          <w:rFonts w:hint="eastAsia" w:ascii="华文楷体" w:hAnsi="华文楷体" w:eastAsia="华文楷体" w:cs="华文楷体"/>
          <w:sz w:val="28"/>
          <w:szCs w:val="28"/>
          <w:highlight w:val="none"/>
        </w:rPr>
        <w:t>西南楼内走道高窗窗套、钢柱包柱工程，位于南京大学鼓楼校区，项目内容:不锈钢窗套，</w:t>
      </w:r>
      <w:r>
        <w:rPr>
          <w:rFonts w:hint="eastAsia" w:ascii="华文楷体" w:hAnsi="华文楷体" w:eastAsia="华文楷体" w:cs="华文楷体"/>
          <w:sz w:val="28"/>
          <w:szCs w:val="28"/>
          <w:highlight w:val="none"/>
          <w:lang w:val="en-US" w:eastAsia="zh-CN"/>
        </w:rPr>
        <w:t>亚克力包柱</w:t>
      </w:r>
      <w:r>
        <w:rPr>
          <w:rFonts w:hint="eastAsia" w:ascii="华文楷体" w:hAnsi="华文楷体" w:eastAsia="华文楷体" w:cs="华文楷体"/>
          <w:sz w:val="28"/>
          <w:szCs w:val="28"/>
          <w:highlight w:val="none"/>
        </w:rPr>
        <w:t>、花岗岩椭圆柱脚</w:t>
      </w:r>
      <w:r>
        <w:rPr>
          <w:rFonts w:hint="eastAsia" w:ascii="华文楷体" w:hAnsi="华文楷体" w:eastAsia="华文楷体" w:cs="华文楷体"/>
          <w:sz w:val="28"/>
          <w:szCs w:val="28"/>
          <w:highlight w:val="none"/>
          <w:lang w:eastAsia="zh-CN"/>
        </w:rPr>
        <w:t>、</w:t>
      </w:r>
      <w:r>
        <w:rPr>
          <w:rFonts w:hint="eastAsia" w:ascii="华文楷体" w:hAnsi="华文楷体" w:eastAsia="华文楷体" w:cs="华文楷体"/>
          <w:sz w:val="28"/>
          <w:szCs w:val="28"/>
          <w:highlight w:val="none"/>
          <w:lang w:val="en-US" w:eastAsia="zh-CN"/>
        </w:rPr>
        <w:t>模拟法庭钢架平台区域扩张网墙面、地面缝隙处玻璃封堵等。</w:t>
      </w:r>
      <w:bookmarkStart w:id="0" w:name="_GoBack"/>
      <w:bookmarkEnd w:id="0"/>
    </w:p>
    <w:p>
      <w:pPr>
        <w:pStyle w:val="22"/>
        <w:widowControl/>
        <w:spacing w:before="0" w:beforeAutospacing="0" w:after="0" w:afterAutospacing="0" w:line="360" w:lineRule="auto"/>
        <w:ind w:firstLine="560" w:firstLineChars="200"/>
        <w:rPr>
          <w:rFonts w:hint="eastAsia" w:ascii="华文楷体" w:hAnsi="华文楷体" w:eastAsia="华文楷体" w:cs="华文楷体"/>
          <w:kern w:val="2"/>
          <w:sz w:val="28"/>
          <w:szCs w:val="28"/>
          <w:highlight w:val="none"/>
          <w:lang w:eastAsia="zh-CN"/>
        </w:rPr>
      </w:pPr>
      <w:r>
        <w:rPr>
          <w:rFonts w:hint="eastAsia" w:ascii="华文楷体" w:hAnsi="华文楷体" w:eastAsia="华文楷体" w:cs="华文楷体"/>
          <w:kern w:val="2"/>
          <w:sz w:val="28"/>
          <w:szCs w:val="28"/>
          <w:highlight w:val="none"/>
        </w:rPr>
        <w:t>施工的范围: 详见图纸</w:t>
      </w:r>
      <w:r>
        <w:rPr>
          <w:rFonts w:hint="eastAsia" w:ascii="华文楷体" w:hAnsi="华文楷体" w:eastAsia="华文楷体" w:cs="华文楷体"/>
          <w:kern w:val="2"/>
          <w:sz w:val="28"/>
          <w:szCs w:val="28"/>
          <w:highlight w:val="none"/>
          <w:lang w:eastAsia="zh-CN"/>
        </w:rPr>
        <w:t>。</w:t>
      </w:r>
    </w:p>
    <w:p>
      <w:pPr>
        <w:numPr>
          <w:ilvl w:val="0"/>
          <w:numId w:val="1"/>
        </w:numPr>
        <w:spacing w:line="360" w:lineRule="auto"/>
        <w:rPr>
          <w:rFonts w:ascii="华文楷体" w:hAnsi="华文楷体" w:eastAsia="华文楷体" w:cs="华文楷体"/>
          <w:b/>
          <w:bCs/>
          <w:sz w:val="28"/>
          <w:szCs w:val="28"/>
          <w:highlight w:val="none"/>
        </w:rPr>
      </w:pPr>
      <w:r>
        <w:rPr>
          <w:rFonts w:hint="eastAsia" w:ascii="华文楷体" w:hAnsi="华文楷体" w:eastAsia="华文楷体" w:cs="华文楷体"/>
          <w:b/>
          <w:bCs/>
          <w:sz w:val="28"/>
          <w:szCs w:val="28"/>
          <w:highlight w:val="none"/>
        </w:rPr>
        <w:t>工程招标和分包范围</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highlight w:val="none"/>
        </w:rPr>
        <w:t>本项目招标清单范围等所有内容，</w:t>
      </w:r>
      <w:r>
        <w:rPr>
          <w:rFonts w:hint="eastAsia" w:ascii="华文楷体" w:hAnsi="华文楷体" w:eastAsia="华文楷体" w:cs="华文楷体"/>
          <w:sz w:val="28"/>
          <w:szCs w:val="28"/>
        </w:rPr>
        <w:t>本项目共一个标段，无其它专业分包项。</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1、现场实际勘查。</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3、《省住房城乡建设厅关于建筑业实施营改增后江苏省建设工程计价依据调整的通知》（苏建价〔2016〕154号）中不可竞争费用的规定。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rPr>
        <w:t>4、《省住房城乡建设厅关于调整建设工程计价增值税税率的通知》（苏建函价﹝2019﹞178号）。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lang w:val="en-US" w:eastAsia="zh-CN"/>
        </w:rPr>
        <w:t>5</w:t>
      </w:r>
      <w:r>
        <w:rPr>
          <w:rFonts w:hint="eastAsia" w:ascii="华文楷体" w:hAnsi="华文楷体" w:eastAsia="华文楷体" w:cs="华文楷体"/>
          <w:sz w:val="28"/>
          <w:szCs w:val="28"/>
        </w:rPr>
        <w:t>、其它文件等。</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（1）投标人在投标报价时结合现场实际情况考虑夜间施工及围挡防护安全，结算时不再调整；</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（3）措施费项目投标单位可自行增添内容，自行报价，未计放部分按优惠考虑，结算时不再调整，投标人在报价中应充分考虑所涉及的各项措施费及风险因素后再进行报价，不可竞争费按规定报价；</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（4）施工现场、交通运输情况及自然地理条件由投标人自行现场勘察，应充分考虑本工程场地现状的特点，可能对工程施工造成的影响并由此增加的费用等，做出考量一并考虑在投标报价中；</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（5）清单中项目特征描述清单的主要特征，详见图纸，投标报价时应考虑图纸所示施工要求等一切费用；</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6）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pStyle w:val="22"/>
        <w:widowControl/>
        <w:spacing w:before="0" w:beforeAutospacing="0" w:after="0" w:afterAutospacing="0"/>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7）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spacing w:line="360" w:lineRule="auto"/>
        <w:rPr>
          <w:rFonts w:hint="eastAsia" w:ascii="华文楷体" w:hAnsi="华文楷体" w:eastAsia="华文楷体" w:cs="华文楷体"/>
          <w:kern w:val="2"/>
          <w:sz w:val="28"/>
          <w:szCs w:val="28"/>
          <w:lang w:val="en-US" w:eastAsia="zh-CN"/>
        </w:rPr>
      </w:pPr>
      <w:r>
        <w:rPr>
          <w:rFonts w:hint="eastAsia" w:ascii="华文楷体" w:hAnsi="华文楷体" w:eastAsia="华文楷体" w:cs="华文楷体"/>
          <w:kern w:val="2"/>
          <w:sz w:val="28"/>
          <w:szCs w:val="28"/>
        </w:rPr>
        <w:t>2、</w:t>
      </w:r>
      <w:r>
        <w:rPr>
          <w:rFonts w:hint="eastAsia" w:ascii="华文楷体" w:hAnsi="华文楷体" w:eastAsia="华文楷体" w:cs="华文楷体"/>
          <w:kern w:val="2"/>
          <w:sz w:val="28"/>
          <w:szCs w:val="28"/>
          <w:lang w:val="en-US" w:eastAsia="zh-CN"/>
        </w:rPr>
        <w:t>其它内容</w:t>
      </w:r>
    </w:p>
    <w:p>
      <w:pPr>
        <w:spacing w:line="360" w:lineRule="auto"/>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（1）本项目投标人应自行察看现场，对前期施工中的各种施工因素需综合考虑并分项报价。</w:t>
      </w:r>
    </w:p>
    <w:p>
      <w:pPr>
        <w:spacing w:line="360" w:lineRule="auto"/>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（2）工程量清单描述不全时，应结合设计图纸，并应当综合考虑施工规范，地方规章等要求，所产生的费用计入报价中。</w:t>
      </w:r>
    </w:p>
    <w:p>
      <w:pPr>
        <w:spacing w:line="360" w:lineRule="auto"/>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3）清单中项目特征描述不论是否完整，项目特征描述是否全面，招标图纸上的内容均含在此次报价内，投标人未在答疑阶段提出的均视为让利，该部分费用含在投标总费用当中，中标后不做调整（设计变更除外）。</w:t>
      </w:r>
    </w:p>
    <w:p>
      <w:pPr>
        <w:spacing w:line="360" w:lineRule="auto"/>
        <w:ind w:firstLine="560" w:firstLineChars="200"/>
        <w:rPr>
          <w:rFonts w:hint="eastAsia" w:ascii="华文楷体" w:hAnsi="华文楷体" w:eastAsia="华文楷体" w:cs="华文楷体"/>
          <w:kern w:val="2"/>
          <w:sz w:val="28"/>
          <w:szCs w:val="28"/>
        </w:rPr>
      </w:pPr>
      <w:r>
        <w:rPr>
          <w:rFonts w:hint="eastAsia" w:ascii="华文楷体" w:hAnsi="华文楷体" w:eastAsia="华文楷体" w:cs="华文楷体"/>
          <w:kern w:val="2"/>
          <w:sz w:val="28"/>
          <w:szCs w:val="28"/>
        </w:rPr>
        <w:t>（4）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五、主要材料设备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承诺使用招标人提供的品牌，在合同履行过程中进行选择。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1、主要材料品牌推荐表如下：</w:t>
      </w:r>
    </w:p>
    <w:tbl>
      <w:tblPr>
        <w:tblStyle w:val="25"/>
        <w:tblW w:w="10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2067"/>
        <w:gridCol w:w="470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序号</w:t>
            </w:r>
          </w:p>
        </w:tc>
        <w:tc>
          <w:tcPr>
            <w:tcW w:w="1219"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p>
            <w:pPr>
              <w:widowControl/>
              <w:jc w:val="center"/>
              <w:textAlignment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sz w:val="28"/>
                <w:szCs w:val="28"/>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木工板、木饰面板</w:t>
            </w: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color w:val="000000"/>
                <w:kern w:val="0"/>
                <w:sz w:val="20"/>
                <w:szCs w:val="20"/>
                <w:u w:val="none"/>
                <w:lang w:val="en-US" w:eastAsia="zh-CN" w:bidi="ar"/>
              </w:rPr>
              <w:t>莫干山</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"供应商基本信息/浙江升华云峰新材股份有限公司"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28"/>
                <w:rFonts w:hint="eastAsia" w:ascii="宋体" w:hAnsi="宋体" w:eastAsia="宋体" w:cs="宋体"/>
                <w:i w:val="0"/>
                <w:iCs w:val="0"/>
                <w:sz w:val="20"/>
                <w:szCs w:val="20"/>
                <w:u w:val="single"/>
              </w:rPr>
              <w:t>浙江升华云峰新材股份有限公司</w:t>
            </w:r>
            <w:r>
              <w:rPr>
                <w:rFonts w:hint="eastAsia" w:ascii="宋体" w:hAnsi="宋体" w:eastAsia="宋体" w:cs="宋体"/>
                <w:i w:val="0"/>
                <w:iCs w:val="0"/>
                <w:kern w:val="0"/>
                <w:sz w:val="20"/>
                <w:szCs w:val="20"/>
                <w:u w:val="single"/>
                <w:lang w:val="en-US" w:eastAsia="zh-CN" w:bidi="ar"/>
              </w:rPr>
              <w:fldChar w:fldCharType="end"/>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color w:val="000000"/>
                <w:kern w:val="0"/>
                <w:sz w:val="20"/>
                <w:szCs w:val="20"/>
                <w:u w:val="none"/>
                <w:lang w:val="en-US" w:eastAsia="zh-CN" w:bidi="ar"/>
              </w:rPr>
              <w:t>兔宝宝</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"供应商基本信息/德华兔宝宝装饰新材股份有限公司"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28"/>
                <w:rFonts w:hint="eastAsia" w:ascii="宋体" w:hAnsi="宋体" w:eastAsia="宋体" w:cs="宋体"/>
                <w:i w:val="0"/>
                <w:iCs w:val="0"/>
                <w:sz w:val="20"/>
                <w:szCs w:val="20"/>
                <w:u w:val="single"/>
              </w:rPr>
              <w:t>德华兔宝宝装饰新材股份有限公司</w:t>
            </w:r>
            <w:r>
              <w:rPr>
                <w:rFonts w:hint="eastAsia" w:ascii="宋体" w:hAnsi="宋体" w:eastAsia="宋体" w:cs="宋体"/>
                <w:i w:val="0"/>
                <w:iCs w:val="0"/>
                <w:kern w:val="0"/>
                <w:sz w:val="20"/>
                <w:szCs w:val="20"/>
                <w:u w:val="single"/>
                <w:lang w:val="en-US" w:eastAsia="zh-CN" w:bidi="ar"/>
              </w:rPr>
              <w:fldChar w:fldCharType="end"/>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color w:val="000000"/>
                <w:kern w:val="0"/>
                <w:sz w:val="20"/>
                <w:szCs w:val="20"/>
                <w:u w:val="none"/>
                <w:lang w:val="en-US" w:eastAsia="zh-CN" w:bidi="ar"/>
              </w:rPr>
              <w:t>大王椰</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华文楷体" w:hAnsi="华文楷体" w:eastAsia="华文楷体" w:cs="华文楷体"/>
                <w:sz w:val="28"/>
                <w:szCs w:val="28"/>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"供应商基本信息/杭州大王椰控股集团有限公司" </w:instrText>
            </w:r>
            <w:r>
              <w:rPr>
                <w:rFonts w:hint="eastAsia" w:ascii="宋体" w:hAnsi="宋体" w:eastAsia="宋体" w:cs="宋体"/>
                <w:i w:val="0"/>
                <w:iCs w:val="0"/>
                <w:kern w:val="0"/>
                <w:sz w:val="20"/>
                <w:szCs w:val="20"/>
                <w:u w:val="single"/>
                <w:lang w:val="en-US" w:eastAsia="zh-CN" w:bidi="ar"/>
              </w:rPr>
              <w:fldChar w:fldCharType="separate"/>
            </w:r>
            <w:r>
              <w:rPr>
                <w:rStyle w:val="28"/>
                <w:rFonts w:hint="eastAsia" w:ascii="宋体" w:hAnsi="宋体" w:eastAsia="宋体" w:cs="宋体"/>
                <w:i w:val="0"/>
                <w:iCs w:val="0"/>
                <w:sz w:val="20"/>
                <w:szCs w:val="20"/>
                <w:u w:val="single"/>
              </w:rPr>
              <w:t>杭州大王椰控股集团有限公司</w:t>
            </w:r>
            <w:r>
              <w:rPr>
                <w:rFonts w:hint="eastAsia" w:ascii="宋体" w:hAnsi="宋体" w:eastAsia="宋体" w:cs="宋体"/>
                <w:i w:val="0"/>
                <w:iCs w:val="0"/>
                <w:kern w:val="0"/>
                <w:sz w:val="20"/>
                <w:szCs w:val="20"/>
                <w:u w:val="single"/>
                <w:lang w:val="en-US" w:eastAsia="zh-CN" w:bidi="ar"/>
              </w:rPr>
              <w:fldChar w:fldCharType="end"/>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i w:val="0"/>
                <w:iCs w:val="0"/>
                <w:color w:val="000000"/>
                <w:kern w:val="0"/>
                <w:sz w:val="20"/>
                <w:szCs w:val="20"/>
                <w:u w:val="none"/>
                <w:lang w:val="en-US" w:eastAsia="zh-CN" w:bidi="ar"/>
              </w:rPr>
              <w:t>千年舟</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r>
              <w:rPr>
                <w:rFonts w:hint="eastAsia" w:ascii="宋体" w:hAnsi="宋体" w:eastAsia="宋体" w:cs="宋体"/>
                <w:i w:val="0"/>
                <w:iCs w:val="0"/>
                <w:kern w:val="0"/>
                <w:sz w:val="20"/>
                <w:szCs w:val="20"/>
                <w:u w:val="single"/>
                <w:lang w:val="en-US" w:eastAsia="zh-CN" w:bidi="ar"/>
              </w:rPr>
              <w:fldChar w:fldCharType="begin"/>
            </w:r>
            <w:r>
              <w:rPr>
                <w:rFonts w:hint="eastAsia" w:ascii="宋体" w:hAnsi="宋体" w:eastAsia="宋体" w:cs="宋体"/>
                <w:i w:val="0"/>
                <w:iCs w:val="0"/>
                <w:kern w:val="0"/>
                <w:sz w:val="20"/>
                <w:szCs w:val="20"/>
                <w:u w:val="single"/>
                <w:lang w:val="en-US" w:eastAsia="zh-CN" w:bidi="ar"/>
              </w:rPr>
              <w:instrText xml:space="preserve"> HYPERLINK "供应商基本信息/千年舟新材科技集团股份有限公司" </w:instrText>
            </w:r>
            <w:r>
              <w:rPr>
                <w:rFonts w:hint="eastAsia" w:ascii="宋体" w:hAnsi="宋体" w:eastAsia="宋体" w:cs="宋体"/>
                <w:i w:val="0"/>
                <w:iCs w:val="0"/>
                <w:kern w:val="0"/>
                <w:sz w:val="20"/>
                <w:szCs w:val="20"/>
                <w:u w:val="single"/>
                <w:lang w:val="en-US" w:eastAsia="zh-CN" w:bidi="ar"/>
              </w:rPr>
              <w:fldChar w:fldCharType="separate"/>
            </w:r>
            <w:r>
              <w:rPr>
                <w:rStyle w:val="28"/>
                <w:rFonts w:hint="eastAsia" w:ascii="宋体" w:hAnsi="宋体" w:eastAsia="宋体" w:cs="宋体"/>
                <w:i w:val="0"/>
                <w:iCs w:val="0"/>
                <w:sz w:val="20"/>
                <w:szCs w:val="20"/>
                <w:u w:val="single"/>
              </w:rPr>
              <w:t>千年舟新材科技集团股份有限公司</w:t>
            </w:r>
            <w:r>
              <w:rPr>
                <w:rFonts w:hint="eastAsia" w:ascii="宋体" w:hAnsi="宋体" w:eastAsia="宋体" w:cs="宋体"/>
                <w:i w:val="0"/>
                <w:iCs w:val="0"/>
                <w:kern w:val="0"/>
                <w:sz w:val="20"/>
                <w:szCs w:val="20"/>
                <w:u w:val="single"/>
                <w:lang w:val="en-US" w:eastAsia="zh-CN" w:bidi="ar"/>
              </w:rPr>
              <w:fldChar w:fldCharType="end"/>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bl>
    <w:p>
      <w:pPr>
        <w:spacing w:line="360" w:lineRule="auto"/>
        <w:rPr>
          <w:rFonts w:ascii="华文楷体" w:hAnsi="华文楷体" w:eastAsia="华文楷体" w:cs="华文楷体"/>
          <w:sz w:val="28"/>
          <w:szCs w:val="28"/>
        </w:rPr>
      </w:pP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rPr>
          <w:rFonts w:hint="eastAsia" w:ascii="华文楷体" w:hAnsi="华文楷体" w:eastAsia="华文楷体" w:cs="华文楷体"/>
          <w:sz w:val="28"/>
          <w:szCs w:val="28"/>
        </w:rPr>
      </w:pPr>
      <w:r>
        <w:rPr>
          <w:rFonts w:hint="eastAsia" w:ascii="华文楷体" w:hAnsi="华文楷体" w:eastAsia="华文楷体" w:cs="华文楷体"/>
          <w:sz w:val="28"/>
          <w:szCs w:val="28"/>
        </w:rPr>
        <w:t>招标人自行采购的主要材料设备</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楷体" w:hAnsi="华文楷体" w:eastAsia="华文楷体" w:cs="华文楷体"/>
          <w:sz w:val="28"/>
          <w:szCs w:val="28"/>
        </w:rPr>
        <w:t>无。</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六、其他说明</w:t>
      </w:r>
    </w:p>
    <w:p>
      <w:p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各投标人在进行综合报价时必须结合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560" w:firstLineChars="200"/>
        <w:rPr>
          <w:rFonts w:ascii="华文楷体" w:hAnsi="华文楷体" w:eastAsia="华文楷体" w:cs="华文楷体"/>
          <w:sz w:val="28"/>
          <w:szCs w:val="28"/>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NWQ3OTYzMmMzNjU4M2MxMWNjNmUwNmE5YjA2ZDUifQ=="/>
  </w:docVars>
  <w:rsids>
    <w:rsidRoot w:val="00E80598"/>
    <w:rsid w:val="00003B10"/>
    <w:rsid w:val="00070CA5"/>
    <w:rsid w:val="0008481C"/>
    <w:rsid w:val="000878B4"/>
    <w:rsid w:val="00094F0E"/>
    <w:rsid w:val="000C5F5E"/>
    <w:rsid w:val="00130701"/>
    <w:rsid w:val="001D3A5E"/>
    <w:rsid w:val="001F5DF7"/>
    <w:rsid w:val="00204723"/>
    <w:rsid w:val="00224361"/>
    <w:rsid w:val="00350785"/>
    <w:rsid w:val="003C551D"/>
    <w:rsid w:val="003D4DFA"/>
    <w:rsid w:val="0041308F"/>
    <w:rsid w:val="00425A5D"/>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5637CE9"/>
    <w:rsid w:val="067B4082"/>
    <w:rsid w:val="0840065C"/>
    <w:rsid w:val="08DC0FF0"/>
    <w:rsid w:val="0AA00FFF"/>
    <w:rsid w:val="0CC139CA"/>
    <w:rsid w:val="0D071482"/>
    <w:rsid w:val="0E475701"/>
    <w:rsid w:val="0E7618A5"/>
    <w:rsid w:val="0E8C230D"/>
    <w:rsid w:val="0F424FA5"/>
    <w:rsid w:val="10291D80"/>
    <w:rsid w:val="12A83E03"/>
    <w:rsid w:val="13D97736"/>
    <w:rsid w:val="15803988"/>
    <w:rsid w:val="15AE466B"/>
    <w:rsid w:val="16CB38CE"/>
    <w:rsid w:val="16CC55E9"/>
    <w:rsid w:val="17CA0378"/>
    <w:rsid w:val="17E83B2A"/>
    <w:rsid w:val="1837402C"/>
    <w:rsid w:val="196827CF"/>
    <w:rsid w:val="199C1506"/>
    <w:rsid w:val="1F6E3E30"/>
    <w:rsid w:val="21471BCB"/>
    <w:rsid w:val="21533141"/>
    <w:rsid w:val="22715C4D"/>
    <w:rsid w:val="22D80382"/>
    <w:rsid w:val="22F333EF"/>
    <w:rsid w:val="23656FC3"/>
    <w:rsid w:val="247875FE"/>
    <w:rsid w:val="24AC52B0"/>
    <w:rsid w:val="255F78C7"/>
    <w:rsid w:val="25F04FD6"/>
    <w:rsid w:val="271E423C"/>
    <w:rsid w:val="2ABE3496"/>
    <w:rsid w:val="2AD07367"/>
    <w:rsid w:val="2BD22118"/>
    <w:rsid w:val="2E975217"/>
    <w:rsid w:val="2F204FF5"/>
    <w:rsid w:val="2F610132"/>
    <w:rsid w:val="323F78FA"/>
    <w:rsid w:val="32CC7242"/>
    <w:rsid w:val="33F322A9"/>
    <w:rsid w:val="342045EA"/>
    <w:rsid w:val="36D80B92"/>
    <w:rsid w:val="38DC5E86"/>
    <w:rsid w:val="398B73E2"/>
    <w:rsid w:val="39BA7CC0"/>
    <w:rsid w:val="3B1D4A86"/>
    <w:rsid w:val="3F8255AA"/>
    <w:rsid w:val="40660CAA"/>
    <w:rsid w:val="40B24332"/>
    <w:rsid w:val="414738E4"/>
    <w:rsid w:val="432A3E3A"/>
    <w:rsid w:val="455D3D20"/>
    <w:rsid w:val="45A03D5F"/>
    <w:rsid w:val="46E65562"/>
    <w:rsid w:val="475D3B01"/>
    <w:rsid w:val="49B36D66"/>
    <w:rsid w:val="4A3939CF"/>
    <w:rsid w:val="4A60261A"/>
    <w:rsid w:val="4B5A580A"/>
    <w:rsid w:val="4CB473FB"/>
    <w:rsid w:val="4CD23CFB"/>
    <w:rsid w:val="4DF950F2"/>
    <w:rsid w:val="4E5C5B33"/>
    <w:rsid w:val="4E86208F"/>
    <w:rsid w:val="4FC55C1D"/>
    <w:rsid w:val="514F6512"/>
    <w:rsid w:val="54341495"/>
    <w:rsid w:val="54FF3FE7"/>
    <w:rsid w:val="563F1955"/>
    <w:rsid w:val="5785783C"/>
    <w:rsid w:val="584A1BD1"/>
    <w:rsid w:val="5B775DA6"/>
    <w:rsid w:val="5BCE5477"/>
    <w:rsid w:val="5E880ED9"/>
    <w:rsid w:val="5FD830C4"/>
    <w:rsid w:val="607139DB"/>
    <w:rsid w:val="6138082C"/>
    <w:rsid w:val="61DC6F7F"/>
    <w:rsid w:val="63AA2810"/>
    <w:rsid w:val="63B130AC"/>
    <w:rsid w:val="6417362C"/>
    <w:rsid w:val="64BC6497"/>
    <w:rsid w:val="64F4340D"/>
    <w:rsid w:val="6ABA2C10"/>
    <w:rsid w:val="6B6E1032"/>
    <w:rsid w:val="6B712C83"/>
    <w:rsid w:val="6C766FB1"/>
    <w:rsid w:val="6DA72690"/>
    <w:rsid w:val="6DAE46FA"/>
    <w:rsid w:val="6FA554C1"/>
    <w:rsid w:val="706A75F7"/>
    <w:rsid w:val="7281066B"/>
    <w:rsid w:val="72CC1AE5"/>
    <w:rsid w:val="73B70FED"/>
    <w:rsid w:val="79416F7E"/>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1946</Words>
  <Characters>1970</Characters>
  <Lines>29</Lines>
  <Paragraphs>8</Paragraphs>
  <TotalTime>0</TotalTime>
  <ScaleCrop>false</ScaleCrop>
  <LinksUpToDate>false</LinksUpToDate>
  <CharactersWithSpaces>1971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人生</cp:lastModifiedBy>
  <dcterms:modified xsi:type="dcterms:W3CDTF">2023-04-27T07:10:22Z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