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招标工程量清单编制说明（模板）</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hint="eastAsia" w:asciiTheme="minorEastAsia" w:hAnsiTheme="minorEastAsia"/>
          <w:color w:val="FF0000"/>
          <w:sz w:val="22"/>
        </w:rPr>
      </w:pPr>
      <w:r>
        <w:rPr>
          <w:rFonts w:hint="eastAsia" w:asciiTheme="minorEastAsia" w:hAnsiTheme="minorEastAsia"/>
          <w:color w:val="FF0000"/>
          <w:sz w:val="22"/>
          <w:lang w:val="en-US" w:eastAsia="zh-CN"/>
        </w:rPr>
        <w:t>仙林校区第十、十一、十二食堂及教工第一食堂油烟机线路改造工程</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asciiTheme="minorEastAsia" w:hAnsiTheme="minorEastAsia"/>
          <w:b/>
          <w:i/>
          <w:color w:val="FF0000"/>
          <w:sz w:val="22"/>
          <w:u w:val="single"/>
        </w:rPr>
      </w:pPr>
      <w:r>
        <w:rPr>
          <w:rFonts w:hint="eastAsia" w:asciiTheme="minorEastAsia" w:hAnsiTheme="minorEastAsia"/>
          <w:color w:val="FF0000"/>
          <w:sz w:val="22"/>
        </w:rPr>
        <w:t>本次改造内容主要包括</w:t>
      </w:r>
      <w:r>
        <w:rPr>
          <w:rFonts w:hint="eastAsia" w:asciiTheme="minorEastAsia" w:hAnsiTheme="minorEastAsia"/>
          <w:color w:val="FF0000"/>
          <w:sz w:val="22"/>
          <w:lang w:val="en-US" w:eastAsia="zh-CN"/>
        </w:rPr>
        <w:t>电缆</w:t>
      </w:r>
      <w:bookmarkStart w:id="0" w:name="_GoBack"/>
      <w:bookmarkEnd w:id="0"/>
      <w:r>
        <w:rPr>
          <w:rFonts w:hint="eastAsia" w:asciiTheme="minorEastAsia" w:hAnsiTheme="minorEastAsia"/>
          <w:color w:val="FF0000"/>
          <w:sz w:val="22"/>
          <w:lang w:val="en-US" w:eastAsia="zh-CN"/>
        </w:rPr>
        <w:t>拆除、更换、及吊顶拆除恢复等</w:t>
      </w:r>
      <w:r>
        <w:rPr>
          <w:rFonts w:hint="eastAsia" w:asciiTheme="minorEastAsia" w:hAnsiTheme="minorEastAsia"/>
          <w:color w:val="FF0000"/>
          <w:sz w:val="22"/>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hint="eastAsia" w:asciiTheme="minorEastAsia" w:hAnsiTheme="minorEastAsia"/>
          <w:sz w:val="22"/>
        </w:rPr>
      </w:pPr>
      <w:r>
        <w:rPr>
          <w:rFonts w:hint="eastAsia" w:asciiTheme="minorEastAsia" w:hAnsiTheme="minorEastAsia"/>
          <w:sz w:val="22"/>
        </w:rPr>
        <w:t>1、</w:t>
      </w:r>
      <w:r>
        <w:rPr>
          <w:rFonts w:hint="eastAsia" w:asciiTheme="minorEastAsia" w:hAnsiTheme="minorEastAsia"/>
          <w:color w:val="FF0000"/>
          <w:sz w:val="22"/>
          <w:lang w:val="en-US" w:eastAsia="zh-CN"/>
        </w:rPr>
        <w:t>现场实际查看情况</w:t>
      </w:r>
      <w:r>
        <w:rPr>
          <w:rFonts w:hint="eastAsia" w:asciiTheme="minorEastAsia" w:hAnsiTheme="minorEastAsia"/>
          <w:sz w:val="22"/>
        </w:rPr>
        <w:t>。</w:t>
      </w:r>
    </w:p>
    <w:p>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2</w:t>
      </w:r>
      <w:r>
        <w:rPr>
          <w:rFonts w:hint="eastAsia" w:asciiTheme="minorEastAsia" w:hAnsiTheme="minorEastAsia"/>
          <w:sz w:val="22"/>
        </w:rPr>
        <w:t>、计量规范：</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①《建设工程工程量清单计价规范》（GB50500-2013）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②《房屋建筑与装饰工程工程量计算规范》（GB50854-2013）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③《通用安装工程工程量计算规范》（GB50856-2013）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pPr>
        <w:spacing w:line="360" w:lineRule="auto"/>
        <w:ind w:firstLine="440" w:firstLineChars="200"/>
        <w:rPr>
          <w:rFonts w:asciiTheme="minorEastAsia" w:hAnsiTheme="minorEastAsia"/>
          <w:b/>
          <w:color w:val="00B0F0"/>
          <w:sz w:val="22"/>
        </w:rPr>
      </w:pPr>
      <w:r>
        <w:rPr>
          <w:rFonts w:hint="eastAsia" w:asciiTheme="minorEastAsia" w:hAnsiTheme="minorEastAsia"/>
          <w:color w:val="00B0F0"/>
          <w:sz w:val="22"/>
        </w:rPr>
        <w:t>（1）暂列金额：</w:t>
      </w:r>
      <w:r>
        <w:rPr>
          <w:rFonts w:hint="eastAsia" w:asciiTheme="minorEastAsia" w:hAnsiTheme="minorEastAsia"/>
          <w:color w:val="FF0000"/>
          <w:sz w:val="22"/>
          <w:lang w:val="en-US" w:eastAsia="zh-CN"/>
        </w:rPr>
        <w:t>20169.17元（不含税）</w:t>
      </w:r>
      <w:r>
        <w:rPr>
          <w:rFonts w:hint="eastAsia" w:asciiTheme="minorEastAsia" w:hAnsiTheme="minorEastAsia"/>
          <w:color w:val="FF0000"/>
          <w:sz w:val="22"/>
        </w:rPr>
        <w:t>。</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（2）暂估价：</w:t>
      </w:r>
      <w:r>
        <w:rPr>
          <w:rFonts w:hint="eastAsia" w:asciiTheme="minorEastAsia" w:hAnsiTheme="minorEastAsia"/>
          <w:color w:val="FF0000"/>
          <w:sz w:val="22"/>
          <w:lang w:eastAsia="zh-CN"/>
        </w:rPr>
        <w:t>无</w:t>
      </w:r>
      <w:r>
        <w:rPr>
          <w:rFonts w:hint="eastAsia" w:asciiTheme="minorEastAsia" w:hAnsiTheme="minorEastAsia"/>
          <w:color w:val="FF0000"/>
          <w:sz w:val="22"/>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（1）投标人在投标报价时结合现场实际情况考虑夜间施工及围挡防护安全，结算时不再调整；</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（2）措施费项目投标单位可自行增添内容，自行报价，未计放部分按优惠考虑，结算时不再调整，投标人在报价中应充分考虑所涉及的各项措施费及风险因素后再进行报价，不可竞争费按规定报价；</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（3）施工现场、交通运输情况及自然地理条件由投标人自行现场勘察，应充分考虑本工程场地现状的特点，可能对工程施工造成的影响并由此增加的费用等，做出考量一并考虑在投标报价中；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（4）清单中项目特征描述不详处，以图纸为准，投标报价时应综合考虑施工过程中涉及到的所有工序内容，包括但不限于材料、构配件的检测检验；</w:t>
      </w:r>
    </w:p>
    <w:p>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5）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spacing w:line="360" w:lineRule="auto"/>
        <w:ind w:firstLine="440" w:firstLineChars="200"/>
        <w:rPr>
          <w:rFonts w:hint="eastAsia" w:asciiTheme="minorEastAsia" w:hAnsiTheme="minorEastAsia" w:eastAsiaTheme="minorEastAsia"/>
          <w:color w:val="00B0F0"/>
          <w:sz w:val="22"/>
          <w:lang w:eastAsia="zh-CN"/>
        </w:rPr>
      </w:pPr>
      <w:r>
        <w:rPr>
          <w:rFonts w:hint="eastAsia" w:asciiTheme="minorEastAsia" w:hAnsiTheme="minorEastAsia"/>
          <w:color w:val="00B0F0"/>
          <w:sz w:val="22"/>
        </w:rPr>
        <w:t>（6）清单中所有的材料（包含设备）的型号和规格都摘录自图纸中，如型号或规格涉及指定某品牌的产品则说明此材料（包含设备）的参数参照此产品，不作为品牌要求的依据，详细的品牌需参照甲方提供的品牌表</w:t>
      </w:r>
      <w:r>
        <w:rPr>
          <w:rFonts w:hint="eastAsia" w:asciiTheme="minorEastAsia" w:hAnsiTheme="minorEastAsia"/>
          <w:color w:val="00B0F0"/>
          <w:sz w:val="22"/>
          <w:lang w:eastAsia="zh-CN"/>
        </w:rPr>
        <w:t>；</w:t>
      </w:r>
    </w:p>
    <w:p>
      <w:pPr>
        <w:spacing w:line="360" w:lineRule="auto"/>
        <w:ind w:firstLine="440" w:firstLineChars="200"/>
        <w:rPr>
          <w:rFonts w:hint="eastAsia" w:asciiTheme="minorEastAsia" w:hAnsiTheme="minorEastAsia"/>
          <w:color w:val="00B0F0"/>
          <w:sz w:val="22"/>
          <w:lang w:val="en-US" w:eastAsia="zh-CN"/>
        </w:rPr>
      </w:pP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7</w:t>
      </w: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电缆更换后要保证系统正常运行，相关调试费用投标人综合考虑在投标报价中，结算时不另行增加；</w:t>
      </w:r>
    </w:p>
    <w:p>
      <w:pPr>
        <w:spacing w:line="360" w:lineRule="auto"/>
        <w:ind w:firstLine="440" w:firstLineChars="200"/>
        <w:rPr>
          <w:rFonts w:hint="default" w:asciiTheme="minorEastAsia" w:hAnsiTheme="minorEastAsia"/>
          <w:color w:val="00B0F0"/>
          <w:sz w:val="22"/>
          <w:lang w:val="en-US" w:eastAsia="zh-CN"/>
        </w:rPr>
      </w:pPr>
      <w:r>
        <w:rPr>
          <w:rFonts w:hint="eastAsia" w:asciiTheme="minorEastAsia" w:hAnsiTheme="minorEastAsia"/>
          <w:color w:val="00B0F0"/>
          <w:sz w:val="22"/>
          <w:lang w:val="en-US" w:eastAsia="zh-CN"/>
        </w:rPr>
        <w:t>（8）电缆两端电缆头的拆除和制作安装费用投标人报价时综合考虑在报价中，结算时不另行增加。</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asciiTheme="minorEastAsia" w:hAnsiTheme="minorEastAsia"/>
          <w:sz w:val="22"/>
        </w:rPr>
      </w:pPr>
      <w:r>
        <w:rPr>
          <w:rFonts w:hint="eastAsia" w:asciiTheme="minorEastAsia" w:hAnsiTheme="minorEastAsia"/>
          <w:sz w:val="22"/>
        </w:rPr>
        <w:t>1、本项目主要材料品牌推荐表如下：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843"/>
        <w:gridCol w:w="2410"/>
        <w:gridCol w:w="241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序号</w:t>
            </w:r>
          </w:p>
        </w:tc>
        <w:tc>
          <w:tcPr>
            <w:tcW w:w="1843" w:type="dxa"/>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材料设备名称</w:t>
            </w:r>
          </w:p>
        </w:tc>
        <w:tc>
          <w:tcPr>
            <w:tcW w:w="2410" w:type="dxa"/>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推荐品牌（系列）</w:t>
            </w:r>
          </w:p>
        </w:tc>
        <w:tc>
          <w:tcPr>
            <w:tcW w:w="2410" w:type="dxa"/>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制造商名称</w:t>
            </w:r>
          </w:p>
        </w:tc>
        <w:tc>
          <w:tcPr>
            <w:tcW w:w="1184" w:type="dxa"/>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pPr>
              <w:spacing w:line="360" w:lineRule="auto"/>
              <w:jc w:val="center"/>
              <w:rPr>
                <w:rFonts w:hint="eastAsia" w:asciiTheme="minorEastAsia" w:hAnsiTheme="minorEastAsia" w:eastAsiaTheme="minorEastAsia"/>
                <w:b w:val="0"/>
                <w:bCs w:val="0"/>
                <w:color w:val="FF0000"/>
                <w:sz w:val="22"/>
                <w:lang w:val="en-US" w:eastAsia="zh-CN"/>
              </w:rPr>
            </w:pPr>
            <w:r>
              <w:rPr>
                <w:rFonts w:hint="eastAsia" w:asciiTheme="minorEastAsia" w:hAnsiTheme="minorEastAsia"/>
                <w:b w:val="0"/>
                <w:bCs w:val="0"/>
                <w:color w:val="FF0000"/>
                <w:sz w:val="22"/>
                <w:lang w:val="en-US" w:eastAsia="zh-CN"/>
              </w:rPr>
              <w:t>1</w:t>
            </w:r>
          </w:p>
        </w:tc>
        <w:tc>
          <w:tcPr>
            <w:tcW w:w="1843" w:type="dxa"/>
            <w:vMerge w:val="restart"/>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电线、电缆</w:t>
            </w: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远东线缆</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"供应商基本信息\\远东电缆有限公司"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远东电缆有限公司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jc w:val="center"/>
              <w:rPr>
                <w:rFonts w:asciiTheme="minorEastAsia" w:hAnsiTheme="minorEastAsia"/>
                <w:b w:val="0"/>
                <w:bCs w:val="0"/>
                <w:color w:val="FF0000"/>
                <w:sz w:val="22"/>
              </w:rPr>
            </w:pPr>
          </w:p>
        </w:tc>
        <w:tc>
          <w:tcPr>
            <w:tcW w:w="1843" w:type="dxa"/>
            <w:vMerge w:val="continue"/>
            <w:vAlign w:val="center"/>
          </w:tcPr>
          <w:p>
            <w:pPr>
              <w:jc w:val="center"/>
              <w:rPr>
                <w:rFonts w:asciiTheme="minorEastAsia" w:hAnsiTheme="minorEastAsia"/>
                <w:b w:val="0"/>
                <w:bCs w:val="0"/>
                <w:color w:val="FF0000"/>
                <w:sz w:val="22"/>
              </w:rPr>
            </w:pP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五彩</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"供应商基本信息\\无锡江南电缆有限公司"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无锡江南电缆有限公司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jc w:val="center"/>
              <w:rPr>
                <w:rFonts w:asciiTheme="minorEastAsia" w:hAnsiTheme="minorEastAsia"/>
                <w:b w:val="0"/>
                <w:bCs w:val="0"/>
                <w:color w:val="FF0000"/>
                <w:sz w:val="22"/>
              </w:rPr>
            </w:pPr>
          </w:p>
        </w:tc>
        <w:tc>
          <w:tcPr>
            <w:tcW w:w="1843" w:type="dxa"/>
            <w:vMerge w:val="continue"/>
            <w:vAlign w:val="center"/>
          </w:tcPr>
          <w:p>
            <w:pPr>
              <w:jc w:val="center"/>
              <w:rPr>
                <w:rFonts w:asciiTheme="minorEastAsia" w:hAnsiTheme="minorEastAsia"/>
                <w:b w:val="0"/>
                <w:bCs w:val="0"/>
                <w:color w:val="FF0000"/>
                <w:sz w:val="22"/>
              </w:rPr>
            </w:pP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上上</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"供应商基本信息\\江苏上上电缆集团有限公司"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 xml:space="preserve"> 江苏上上电缆集团有限公司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jc w:val="center"/>
              <w:rPr>
                <w:rFonts w:asciiTheme="minorEastAsia" w:hAnsiTheme="minorEastAsia"/>
                <w:b w:val="0"/>
                <w:bCs w:val="0"/>
                <w:color w:val="FF0000"/>
                <w:sz w:val="22"/>
              </w:rPr>
            </w:pPr>
          </w:p>
        </w:tc>
        <w:tc>
          <w:tcPr>
            <w:tcW w:w="1843" w:type="dxa"/>
            <w:vMerge w:val="continue"/>
            <w:vAlign w:val="center"/>
          </w:tcPr>
          <w:p>
            <w:pPr>
              <w:jc w:val="center"/>
              <w:rPr>
                <w:rFonts w:asciiTheme="minorEastAsia" w:hAnsiTheme="minorEastAsia"/>
                <w:b w:val="0"/>
                <w:bCs w:val="0"/>
                <w:color w:val="FF0000"/>
                <w:sz w:val="22"/>
              </w:rPr>
            </w:pP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宝胜</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"供应商基本信息\\宝胜科技创新股份有限公司"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宝胜科技创新股份有限公司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pPr>
              <w:spacing w:line="360" w:lineRule="auto"/>
              <w:jc w:val="center"/>
              <w:rPr>
                <w:rFonts w:hint="eastAsia" w:asciiTheme="minorEastAsia" w:hAnsiTheme="minorEastAsia" w:eastAsiaTheme="minorEastAsia"/>
                <w:b w:val="0"/>
                <w:bCs w:val="0"/>
                <w:color w:val="FF0000"/>
                <w:sz w:val="22"/>
                <w:lang w:val="en-US" w:eastAsia="zh-CN"/>
              </w:rPr>
            </w:pPr>
            <w:r>
              <w:rPr>
                <w:rFonts w:hint="eastAsia" w:asciiTheme="minorEastAsia" w:hAnsiTheme="minorEastAsia"/>
                <w:b w:val="0"/>
                <w:bCs w:val="0"/>
                <w:color w:val="FF0000"/>
                <w:sz w:val="22"/>
                <w:lang w:val="en-US" w:eastAsia="zh-CN"/>
              </w:rPr>
              <w:t>2</w:t>
            </w:r>
          </w:p>
        </w:tc>
        <w:tc>
          <w:tcPr>
            <w:tcW w:w="1843" w:type="dxa"/>
            <w:vMerge w:val="restart"/>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真空断路器</w:t>
            </w: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施耐德（HVX）</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"供应商基本信息\\施耐德电气（中国）有限公司"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施耐德电气（中国）有限公司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jc w:val="center"/>
              <w:rPr>
                <w:rFonts w:asciiTheme="minorEastAsia" w:hAnsiTheme="minorEastAsia"/>
                <w:b w:val="0"/>
                <w:bCs w:val="0"/>
                <w:color w:val="FF0000"/>
                <w:sz w:val="22"/>
              </w:rPr>
            </w:pPr>
          </w:p>
        </w:tc>
        <w:tc>
          <w:tcPr>
            <w:tcW w:w="1843" w:type="dxa"/>
            <w:vMerge w:val="continue"/>
            <w:vAlign w:val="center"/>
          </w:tcPr>
          <w:p>
            <w:pPr>
              <w:jc w:val="center"/>
              <w:rPr>
                <w:rFonts w:asciiTheme="minorEastAsia" w:hAnsiTheme="minorEastAsia"/>
                <w:b w:val="0"/>
                <w:bCs w:val="0"/>
                <w:color w:val="FF0000"/>
                <w:sz w:val="22"/>
              </w:rPr>
            </w:pP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ABB（VD4）</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"供应商基本信息\\ABB（中国）有限公司"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ABB(中国)有限公司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jc w:val="center"/>
              <w:rPr>
                <w:rFonts w:asciiTheme="minorEastAsia" w:hAnsiTheme="minorEastAsia"/>
                <w:b w:val="0"/>
                <w:bCs w:val="0"/>
                <w:color w:val="FF0000"/>
                <w:sz w:val="22"/>
              </w:rPr>
            </w:pPr>
          </w:p>
        </w:tc>
        <w:tc>
          <w:tcPr>
            <w:tcW w:w="1843" w:type="dxa"/>
            <w:vMerge w:val="continue"/>
            <w:vAlign w:val="center"/>
          </w:tcPr>
          <w:p>
            <w:pPr>
              <w:jc w:val="center"/>
              <w:rPr>
                <w:rFonts w:asciiTheme="minorEastAsia" w:hAnsiTheme="minorEastAsia"/>
                <w:b w:val="0"/>
                <w:bCs w:val="0"/>
                <w:color w:val="FF0000"/>
                <w:sz w:val="22"/>
              </w:rPr>
            </w:pP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西门子（3AE）</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"供应商基本信息\\西门子（中国）有限公司"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西门子（中国）有限公司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pPr>
              <w:spacing w:line="360" w:lineRule="auto"/>
              <w:jc w:val="center"/>
              <w:rPr>
                <w:rFonts w:hint="eastAsia" w:asciiTheme="minorEastAsia" w:hAnsiTheme="minorEastAsia" w:eastAsiaTheme="minorEastAsia"/>
                <w:b w:val="0"/>
                <w:bCs w:val="0"/>
                <w:color w:val="FF0000"/>
                <w:sz w:val="22"/>
                <w:lang w:val="en-US" w:eastAsia="zh-CN"/>
              </w:rPr>
            </w:pPr>
            <w:r>
              <w:rPr>
                <w:rFonts w:hint="eastAsia" w:asciiTheme="minorEastAsia" w:hAnsiTheme="minorEastAsia"/>
                <w:b w:val="0"/>
                <w:bCs w:val="0"/>
                <w:color w:val="FF0000"/>
                <w:sz w:val="22"/>
                <w:lang w:val="en-US" w:eastAsia="zh-CN"/>
              </w:rPr>
              <w:t>3</w:t>
            </w:r>
          </w:p>
        </w:tc>
        <w:tc>
          <w:tcPr>
            <w:tcW w:w="1843" w:type="dxa"/>
            <w:vMerge w:val="restart"/>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JDG管（套接紧定式镀锌钢导管）</w:t>
            </w: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亿泰</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"供应商基本信息\\北京亿泰顺兴电气有限公司"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北京亿泰顺兴电气有限公司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jc w:val="center"/>
              <w:rPr>
                <w:rFonts w:asciiTheme="minorEastAsia" w:hAnsiTheme="minorEastAsia"/>
                <w:b w:val="0"/>
                <w:bCs w:val="0"/>
                <w:color w:val="FF0000"/>
                <w:sz w:val="22"/>
              </w:rPr>
            </w:pPr>
          </w:p>
        </w:tc>
        <w:tc>
          <w:tcPr>
            <w:tcW w:w="1843" w:type="dxa"/>
            <w:vMerge w:val="continue"/>
            <w:vAlign w:val="center"/>
          </w:tcPr>
          <w:p>
            <w:pPr>
              <w:jc w:val="center"/>
              <w:rPr>
                <w:rFonts w:asciiTheme="minorEastAsia" w:hAnsiTheme="minorEastAsia"/>
                <w:b w:val="0"/>
                <w:bCs w:val="0"/>
                <w:color w:val="FF0000"/>
                <w:sz w:val="22"/>
              </w:rPr>
            </w:pP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申捷</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"供应商基本信息\\上海申捷管业科技有限公司"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上海申捷管业科技有限公司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jc w:val="center"/>
              <w:rPr>
                <w:rFonts w:asciiTheme="minorEastAsia" w:hAnsiTheme="minorEastAsia"/>
                <w:b w:val="0"/>
                <w:bCs w:val="0"/>
                <w:color w:val="FF0000"/>
                <w:sz w:val="22"/>
              </w:rPr>
            </w:pPr>
          </w:p>
        </w:tc>
        <w:tc>
          <w:tcPr>
            <w:tcW w:w="1843" w:type="dxa"/>
            <w:vMerge w:val="continue"/>
            <w:vAlign w:val="center"/>
          </w:tcPr>
          <w:p>
            <w:pPr>
              <w:jc w:val="center"/>
              <w:rPr>
                <w:rFonts w:asciiTheme="minorEastAsia" w:hAnsiTheme="minorEastAsia"/>
                <w:b w:val="0"/>
                <w:bCs w:val="0"/>
                <w:color w:val="FF0000"/>
                <w:sz w:val="22"/>
              </w:rPr>
            </w:pPr>
          </w:p>
        </w:tc>
        <w:tc>
          <w:tcPr>
            <w:tcW w:w="2410" w:type="dxa"/>
            <w:vAlign w:val="center"/>
          </w:tcPr>
          <w:p>
            <w:pPr>
              <w:keepNext w:val="0"/>
              <w:keepLines w:val="0"/>
              <w:widowControl/>
              <w:suppressLineNumbers w:val="0"/>
              <w:jc w:val="center"/>
              <w:textAlignment w:val="center"/>
              <w:rPr>
                <w:rFonts w:asciiTheme="minorEastAsia" w:hAnsiTheme="minorEastAsia"/>
                <w:b w:val="0"/>
                <w:bCs w:val="0"/>
                <w:color w:val="FF0000"/>
                <w:sz w:val="22"/>
              </w:rPr>
            </w:pPr>
            <w:r>
              <w:rPr>
                <w:rFonts w:hint="eastAsia" w:ascii="宋体" w:hAnsi="宋体" w:eastAsia="宋体" w:cs="宋体"/>
                <w:b w:val="0"/>
                <w:bCs w:val="0"/>
                <w:i w:val="0"/>
                <w:iCs w:val="0"/>
                <w:color w:val="000000"/>
                <w:kern w:val="0"/>
                <w:sz w:val="20"/>
                <w:szCs w:val="20"/>
                <w:u w:val="none"/>
                <w:lang w:val="en-US" w:eastAsia="zh-CN" w:bidi="ar"/>
              </w:rPr>
              <w:t>禹蓝特 ULAND</w:t>
            </w:r>
          </w:p>
        </w:tc>
        <w:tc>
          <w:tcPr>
            <w:tcW w:w="2410" w:type="dxa"/>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"供应商基本信息\\上海禹蓝特钢材有限公司"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上海禹蓝特钢材有限公司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pPr>
              <w:spacing w:line="360" w:lineRule="auto"/>
              <w:jc w:val="center"/>
              <w:rPr>
                <w:rFonts w:asciiTheme="minorEastAsia" w:hAnsiTheme="minorEastAsia"/>
                <w:b w:val="0"/>
                <w:bCs w:val="0"/>
                <w:color w:val="FF0000"/>
                <w:sz w:val="22"/>
              </w:rPr>
            </w:pPr>
          </w:p>
        </w:tc>
      </w:tr>
    </w:tbl>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lY2YzMDhhODhjNjlhMGUyNjhiZmE2MDc5MDk1ZTU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1EF4654F"/>
    <w:rsid w:val="71D41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2555</Words>
  <Characters>2650</Characters>
  <Lines>19</Lines>
  <Paragraphs>5</Paragraphs>
  <TotalTime>0</TotalTime>
  <ScaleCrop>false</ScaleCrop>
  <LinksUpToDate>false</LinksUpToDate>
  <CharactersWithSpaces>2653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沈兵</cp:lastModifiedBy>
  <dcterms:modified xsi:type="dcterms:W3CDTF">2024-06-28T09:05:03Z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077A773D5C8D4C489CB6D70DF90C005A_12</vt:lpwstr>
  </property>
</Properties>
</file>