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pStyle w:val="5"/>
        <w:keepNext w:val="0"/>
        <w:keepLines w:val="0"/>
        <w:widowControl/>
        <w:suppressLineNumbers w:val="0"/>
        <w:spacing w:before="0" w:beforeAutospacing="0" w:after="0" w:afterAutospacing="0"/>
        <w:ind w:left="0" w:right="0" w:firstLine="0"/>
        <w:rPr>
          <w:rFonts w:hint="default" w:eastAsia="宋体" w:asciiTheme="minorEastAsia" w:hAnsiTheme="minorEastAsia"/>
          <w:color w:val="FF0000"/>
          <w:sz w:val="22"/>
          <w:lang w:val="en-US" w:eastAsia="zh-CN"/>
        </w:rPr>
      </w:pPr>
      <w:r>
        <w:rPr>
          <w:rFonts w:hint="eastAsia" w:ascii="宋体" w:hAnsi="宋体" w:eastAsia="宋体" w:cs="宋体"/>
          <w:bCs/>
          <w:sz w:val="24"/>
          <w:lang w:val="en-US" w:eastAsia="zh-CN"/>
        </w:rPr>
        <w:t xml:space="preserve">      </w:t>
      </w:r>
      <w:r>
        <w:rPr>
          <w:rFonts w:hint="eastAsia" w:ascii="宋体" w:hAnsi="宋体" w:eastAsia="宋体" w:cs="宋体"/>
          <w:bCs/>
          <w:sz w:val="24"/>
        </w:rPr>
        <w:t>本工程为</w:t>
      </w:r>
      <w:r>
        <w:rPr>
          <w:rFonts w:hint="eastAsia" w:ascii="宋体" w:hAnsi="宋体" w:eastAsia="宋体" w:cs="宋体"/>
          <w:sz w:val="24"/>
        </w:rPr>
        <w:t>南京大学仙林国际化校区图书馆研讨室改造</w:t>
      </w:r>
      <w:r>
        <w:rPr>
          <w:rFonts w:hint="eastAsia" w:ascii="宋体" w:hAnsi="宋体" w:eastAsia="宋体" w:cs="宋体"/>
          <w:bCs/>
          <w:sz w:val="24"/>
        </w:rPr>
        <w:t>。主要内容为</w:t>
      </w:r>
      <w:r>
        <w:rPr>
          <w:rFonts w:hint="eastAsia" w:ascii="宋体" w:hAnsi="宋体" w:eastAsia="宋体" w:cs="宋体"/>
          <w:bCs/>
          <w:sz w:val="24"/>
          <w:lang w:val="en-US" w:eastAsia="zh-CN"/>
        </w:rPr>
        <w:t>图书馆2楼研讨室5个房间维修改造，拆除原有隔墙，新建隔墙，刷油漆等。</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720" w:firstLineChars="300"/>
        <w:rPr>
          <w:rFonts w:hint="eastAsia" w:asciiTheme="minorEastAsia" w:hAnsiTheme="minorEastAsia"/>
          <w:color w:val="FF0000"/>
          <w:sz w:val="22"/>
        </w:rPr>
      </w:pPr>
      <w:r>
        <w:rPr>
          <w:rFonts w:hint="eastAsia" w:ascii="宋体" w:hAnsi="宋体" w:eastAsia="宋体" w:cs="宋体"/>
          <w:sz w:val="24"/>
          <w:highlight w:val="none"/>
          <w:lang w:val="en-US" w:eastAsia="zh-CN"/>
        </w:rPr>
        <w:t>本项目</w:t>
      </w:r>
      <w:r>
        <w:rPr>
          <w:rFonts w:hint="eastAsia" w:ascii="宋体" w:hAnsi="宋体" w:eastAsia="宋体" w:cs="宋体"/>
          <w:sz w:val="24"/>
          <w:lang w:val="en-US" w:eastAsia="zh-CN"/>
        </w:rPr>
        <w:t>主要包括旧装修拆除、装饰、具体</w:t>
      </w:r>
      <w:r>
        <w:rPr>
          <w:rFonts w:hint="eastAsia" w:ascii="宋体" w:hAnsi="宋体" w:eastAsia="宋体" w:cs="宋体"/>
          <w:sz w:val="24"/>
        </w:rPr>
        <w:t>详见施工图纸及工程量清单。</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hint="eastAsia" w:asciiTheme="minorEastAsia" w:hAnsiTheme="minorEastAsia"/>
          <w:sz w:val="22"/>
        </w:rPr>
      </w:pPr>
      <w:r>
        <w:rPr>
          <w:rFonts w:hint="eastAsia" w:asciiTheme="minorEastAsia" w:hAnsiTheme="minorEastAsia"/>
          <w:sz w:val="22"/>
        </w:rPr>
        <w:t>1、</w:t>
      </w:r>
      <w:r>
        <w:rPr>
          <w:rFonts w:hint="eastAsia" w:asciiTheme="minorEastAsia" w:hAnsiTheme="minorEastAsia"/>
          <w:b w:val="0"/>
          <w:bCs w:val="0"/>
          <w:color w:val="auto"/>
          <w:sz w:val="22"/>
          <w:lang w:val="en-US" w:eastAsia="zh-CN"/>
        </w:rPr>
        <w:t>南京大学建筑规划</w:t>
      </w:r>
      <w:r>
        <w:rPr>
          <w:rFonts w:hint="eastAsia" w:asciiTheme="minorEastAsia" w:hAnsiTheme="minorEastAsia"/>
          <w:b w:val="0"/>
          <w:bCs w:val="0"/>
          <w:color w:val="auto"/>
          <w:sz w:val="22"/>
        </w:rPr>
        <w:t>设计</w:t>
      </w:r>
      <w:r>
        <w:rPr>
          <w:rFonts w:hint="eastAsia" w:asciiTheme="minorEastAsia" w:hAnsiTheme="minorEastAsia"/>
          <w:b w:val="0"/>
          <w:bCs w:val="0"/>
          <w:color w:val="auto"/>
          <w:sz w:val="22"/>
          <w:lang w:val="en-US" w:eastAsia="zh-CN"/>
        </w:rPr>
        <w:t>研究</w:t>
      </w:r>
      <w:r>
        <w:rPr>
          <w:rFonts w:hint="eastAsia" w:asciiTheme="minorEastAsia" w:hAnsiTheme="minorEastAsia"/>
          <w:b w:val="0"/>
          <w:bCs w:val="0"/>
          <w:color w:val="auto"/>
          <w:sz w:val="22"/>
        </w:rPr>
        <w:t>院</w:t>
      </w:r>
      <w:r>
        <w:rPr>
          <w:rFonts w:hint="eastAsia" w:asciiTheme="minorEastAsia" w:hAnsiTheme="minorEastAsia"/>
          <w:b w:val="0"/>
          <w:bCs w:val="0"/>
          <w:color w:val="auto"/>
          <w:sz w:val="22"/>
          <w:lang w:val="en-US" w:eastAsia="zh-CN"/>
        </w:rPr>
        <w:t>有限公司</w:t>
      </w:r>
      <w:r>
        <w:rPr>
          <w:rFonts w:hint="eastAsia" w:asciiTheme="minorEastAsia" w:hAnsiTheme="minorEastAsia"/>
          <w:b w:val="0"/>
          <w:bCs w:val="0"/>
          <w:color w:val="auto"/>
          <w:sz w:val="22"/>
        </w:rPr>
        <w:t>设计的</w:t>
      </w:r>
      <w:r>
        <w:rPr>
          <w:rFonts w:hint="eastAsia" w:asciiTheme="minorEastAsia" w:hAnsiTheme="minorEastAsia"/>
          <w:b w:val="0"/>
          <w:bCs w:val="0"/>
          <w:color w:val="auto"/>
          <w:sz w:val="22"/>
          <w:lang w:val="en-US" w:eastAsia="zh-CN"/>
        </w:rPr>
        <w:t>2024</w:t>
      </w:r>
      <w:r>
        <w:rPr>
          <w:rFonts w:hint="eastAsia" w:asciiTheme="minorEastAsia" w:hAnsiTheme="minorEastAsia"/>
          <w:b w:val="0"/>
          <w:bCs w:val="0"/>
          <w:color w:val="auto"/>
          <w:sz w:val="22"/>
        </w:rPr>
        <w:t>年</w:t>
      </w:r>
      <w:r>
        <w:rPr>
          <w:rFonts w:hint="eastAsia" w:asciiTheme="minorEastAsia" w:hAnsiTheme="minorEastAsia"/>
          <w:b w:val="0"/>
          <w:bCs w:val="0"/>
          <w:color w:val="auto"/>
          <w:sz w:val="22"/>
          <w:lang w:val="en-US" w:eastAsia="zh-CN"/>
        </w:rPr>
        <w:t>6</w:t>
      </w:r>
      <w:r>
        <w:rPr>
          <w:rFonts w:hint="eastAsia" w:asciiTheme="minorEastAsia" w:hAnsiTheme="minorEastAsia"/>
          <w:b w:val="0"/>
          <w:bCs w:val="0"/>
          <w:color w:val="auto"/>
          <w:sz w:val="22"/>
        </w:rPr>
        <w:t>月</w:t>
      </w:r>
      <w:r>
        <w:rPr>
          <w:rFonts w:hint="eastAsia" w:asciiTheme="minorEastAsia" w:hAnsiTheme="minorEastAsia"/>
          <w:sz w:val="22"/>
        </w:rPr>
        <w:t>施工图及其说明、设计修改、变更通知等技术资料。</w:t>
      </w:r>
    </w:p>
    <w:p>
      <w:pPr>
        <w:spacing w:line="360" w:lineRule="auto"/>
        <w:ind w:firstLine="440" w:firstLineChars="200"/>
        <w:rPr>
          <w:rFonts w:hint="eastAsia" w:asciiTheme="minorEastAsia" w:hAnsiTheme="minorEastAsia"/>
          <w:sz w:val="22"/>
        </w:rPr>
      </w:pPr>
      <w:r>
        <w:rPr>
          <w:rFonts w:hint="eastAsia" w:asciiTheme="minorEastAsia" w:hAnsiTheme="minorEastAsia"/>
          <w:sz w:val="22"/>
          <w:lang w:val="en-US" w:eastAsia="zh-CN"/>
        </w:rPr>
        <w:t>2</w:t>
      </w:r>
      <w:r>
        <w:rPr>
          <w:rFonts w:hint="eastAsia" w:asciiTheme="minorEastAsia" w:hAnsiTheme="minorEastAsia"/>
          <w:sz w:val="22"/>
        </w:rPr>
        <w:t>、计量规范：</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①《建设工程工程量清单计价规范》（GB50500-2013）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②《房屋建筑与装饰工程工程量计算规范》（GB50854-2013）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③《通用安装工程工程量计算规范》（GB50856-2013）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④《市政工程工程量计算规范》（GB50857-2013）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⑤《园林绿化工程工程量计算规范》（</w:t>
      </w:r>
      <w:r>
        <w:rPr>
          <w:rFonts w:hint="eastAsia" w:asciiTheme="minorEastAsia" w:hAnsiTheme="minorEastAsia"/>
          <w:color w:val="00B0F0"/>
          <w:sz w:val="22"/>
        </w:rPr>
        <w:tab/>
      </w:r>
      <w:r>
        <w:rPr>
          <w:rFonts w:hint="eastAsia" w:asciiTheme="minorEastAsia" w:hAnsiTheme="minorEastAsia"/>
          <w:color w:val="00B0F0"/>
          <w:sz w:val="22"/>
        </w:rPr>
        <w:t>GB50858-2013）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⑥现行相关补充或调整文件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3、安全文明施工措施费计取基本费和扬尘污染防治增加费。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4、《省住房城乡建设厅关于建筑工人实名制费用计取方法的公告》〔2019〕第19号</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8、暂列金额及暂估价：</w:t>
      </w:r>
    </w:p>
    <w:p>
      <w:pPr>
        <w:spacing w:line="360" w:lineRule="auto"/>
        <w:ind w:firstLine="440" w:firstLineChars="200"/>
        <w:rPr>
          <w:rFonts w:hint="eastAsia" w:asciiTheme="minorEastAsia" w:hAnsiTheme="minorEastAsia"/>
          <w:color w:val="FF0000"/>
          <w:sz w:val="22"/>
        </w:rPr>
      </w:pPr>
      <w:r>
        <w:rPr>
          <w:rFonts w:hint="eastAsia" w:asciiTheme="minorEastAsia" w:hAnsiTheme="minorEastAsia"/>
          <w:color w:val="00B0F0"/>
          <w:sz w:val="22"/>
        </w:rPr>
        <w:t>（1）暂列金额：</w:t>
      </w:r>
      <w:r>
        <w:rPr>
          <w:rFonts w:hint="eastAsia" w:asciiTheme="minorEastAsia" w:hAnsiTheme="minorEastAsia"/>
          <w:color w:val="00B0F0"/>
          <w:sz w:val="22"/>
          <w:lang w:val="en-US" w:eastAsia="zh-CN"/>
        </w:rPr>
        <w:t>9388.29</w:t>
      </w:r>
      <w:bookmarkStart w:id="2" w:name="_GoBack"/>
      <w:bookmarkEnd w:id="2"/>
      <w:r>
        <w:rPr>
          <w:rFonts w:hint="eastAsia" w:asciiTheme="minorEastAsia" w:hAnsiTheme="minorEastAsia"/>
          <w:color w:val="00B0F0"/>
          <w:sz w:val="22"/>
          <w:lang w:val="en-US" w:eastAsia="zh-CN"/>
        </w:rPr>
        <w:t>元</w:t>
      </w:r>
      <w:r>
        <w:rPr>
          <w:rFonts w:hint="eastAsia" w:asciiTheme="minorEastAsia" w:hAnsiTheme="minorEastAsia"/>
          <w:color w:val="FF0000"/>
          <w:sz w:val="22"/>
        </w:rPr>
        <w:t>。</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（2）暂估价：</w:t>
      </w:r>
      <w:r>
        <w:rPr>
          <w:rFonts w:hint="eastAsia" w:asciiTheme="minorEastAsia" w:hAnsiTheme="minorEastAsia"/>
          <w:color w:val="FF0000"/>
          <w:sz w:val="22"/>
          <w:lang w:val="en-US" w:eastAsia="zh-CN"/>
        </w:rPr>
        <w:t>无</w:t>
      </w:r>
      <w:r>
        <w:rPr>
          <w:rFonts w:hint="eastAsia" w:asciiTheme="minorEastAsia" w:hAnsiTheme="minorEastAsia"/>
          <w:color w:val="FF0000"/>
          <w:sz w:val="22"/>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1、通用部分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2、土建部分</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（1）本工程砂浆按预拌砂浆考虑，砼按商品砼考虑，现场采用泵送还是非泵送由投标单位自行考虑。</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lang w:eastAsia="zh-CN"/>
        </w:rPr>
        <w:t>（</w:t>
      </w:r>
      <w:r>
        <w:rPr>
          <w:rFonts w:hint="eastAsia" w:asciiTheme="minorEastAsia" w:hAnsiTheme="minorEastAsia"/>
          <w:color w:val="00B0F0"/>
          <w:sz w:val="22"/>
          <w:lang w:val="en-US" w:eastAsia="zh-CN"/>
        </w:rPr>
        <w:t>2）</w:t>
      </w:r>
      <w:r>
        <w:rPr>
          <w:rFonts w:hint="eastAsia" w:asciiTheme="minorEastAsia" w:hAnsiTheme="minorEastAsia"/>
          <w:color w:val="00B0F0"/>
          <w:sz w:val="22"/>
        </w:rPr>
        <w:t>有防</w:t>
      </w:r>
      <w:bookmarkStart w:id="0" w:name="OLE_LINK2"/>
      <w:r>
        <w:rPr>
          <w:rFonts w:hint="eastAsia" w:asciiTheme="minorEastAsia" w:hAnsiTheme="minorEastAsia"/>
          <w:color w:val="00B0F0"/>
          <w:sz w:val="22"/>
        </w:rPr>
        <w:t>潮、防锈、防霉</w:t>
      </w:r>
      <w:bookmarkEnd w:id="0"/>
      <w:r>
        <w:rPr>
          <w:rFonts w:hint="eastAsia" w:asciiTheme="minorEastAsia" w:hAnsiTheme="minorEastAsia"/>
          <w:color w:val="00B0F0"/>
          <w:sz w:val="22"/>
        </w:rPr>
        <w:t>使用要求的材料、零配件、五金件等选用</w:t>
      </w:r>
      <w:bookmarkStart w:id="1" w:name="OLE_LINK3"/>
      <w:r>
        <w:rPr>
          <w:rFonts w:hint="eastAsia" w:asciiTheme="minorEastAsia" w:hAnsiTheme="minorEastAsia"/>
          <w:color w:val="00B0F0"/>
          <w:sz w:val="22"/>
        </w:rPr>
        <w:t>防潮、防锈、防霉</w:t>
      </w:r>
      <w:bookmarkEnd w:id="1"/>
      <w:r>
        <w:rPr>
          <w:rFonts w:hint="eastAsia" w:asciiTheme="minorEastAsia" w:hAnsiTheme="minorEastAsia"/>
          <w:color w:val="00B0F0"/>
          <w:sz w:val="22"/>
        </w:rPr>
        <w:t>产品或进行相应的防潮、防锈、防霉等处理。</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lang w:eastAsia="zh-CN"/>
        </w:rPr>
        <w:t>（</w:t>
      </w:r>
      <w:r>
        <w:rPr>
          <w:rFonts w:hint="eastAsia" w:asciiTheme="minorEastAsia" w:hAnsiTheme="minorEastAsia"/>
          <w:color w:val="00B0F0"/>
          <w:sz w:val="22"/>
          <w:lang w:val="en-US" w:eastAsia="zh-CN"/>
        </w:rPr>
        <w:t>3）</w:t>
      </w:r>
      <w:r>
        <w:rPr>
          <w:rFonts w:hint="eastAsia" w:asciiTheme="minorEastAsia" w:hAnsiTheme="minorEastAsia"/>
          <w:color w:val="00B0F0"/>
          <w:sz w:val="22"/>
        </w:rPr>
        <w:t>所有的石材、地砖、瓷砖、都需应根据图纸设计要求进行防护处理，并考虑成品保护，石材的倒角、磨边、切割、开槽等加工费用均包含在本次报价中。</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lang w:eastAsia="zh-CN"/>
        </w:rPr>
        <w:t>（</w:t>
      </w:r>
      <w:r>
        <w:rPr>
          <w:rFonts w:hint="eastAsia" w:asciiTheme="minorEastAsia" w:hAnsiTheme="minorEastAsia"/>
          <w:color w:val="00B0F0"/>
          <w:sz w:val="22"/>
          <w:lang w:val="en-US" w:eastAsia="zh-CN"/>
        </w:rPr>
        <w:t>4）</w:t>
      </w:r>
      <w:r>
        <w:rPr>
          <w:rFonts w:hint="eastAsia" w:asciiTheme="minorEastAsia" w:hAnsiTheme="minorEastAsia"/>
          <w:color w:val="00B0F0"/>
          <w:sz w:val="22"/>
        </w:rPr>
        <w:t>所有木材基层均应防火、防腐处理，此费用综合单价中，结算不调整。</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3、安装部分</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（1）桥架单列清单，项目特征描述清楚材质，桥架支架必须与桥架同材质。</w:t>
      </w:r>
    </w:p>
    <w:p>
      <w:pPr>
        <w:spacing w:line="360" w:lineRule="auto"/>
        <w:ind w:firstLine="440" w:firstLineChars="200"/>
        <w:rPr>
          <w:rFonts w:hint="eastAsia" w:asciiTheme="minorEastAsia" w:hAnsiTheme="minorEastAsia"/>
          <w:color w:val="00B0F0"/>
          <w:sz w:val="22"/>
          <w:lang w:eastAsia="zh-CN"/>
        </w:rPr>
      </w:pPr>
      <w:r>
        <w:rPr>
          <w:rFonts w:hint="eastAsia" w:asciiTheme="minorEastAsia" w:hAnsiTheme="minorEastAsia"/>
          <w:color w:val="00B0F0"/>
          <w:sz w:val="22"/>
          <w:lang w:val="en-US" w:eastAsia="zh-CN"/>
        </w:rPr>
        <w:t>（2）</w:t>
      </w:r>
      <w:r>
        <w:rPr>
          <w:rFonts w:hint="eastAsia" w:asciiTheme="minorEastAsia" w:hAnsiTheme="minorEastAsia"/>
          <w:color w:val="00B0F0"/>
          <w:sz w:val="22"/>
          <w:lang w:eastAsia="zh-CN"/>
        </w:rPr>
        <w:t>暖通系统所有线控系统、冷凝管、冷媒管、风管、风阀、风口等所有相关配件均包含在综合单价中，结算时不再调整。</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spacing w:line="360" w:lineRule="auto"/>
        <w:ind w:firstLine="440" w:firstLineChars="200"/>
        <w:rPr>
          <w:rFonts w:hint="eastAsia" w:asciiTheme="minorEastAsia" w:hAnsiTheme="minorEastAsia"/>
          <w:sz w:val="22"/>
        </w:rPr>
      </w:pPr>
    </w:p>
    <w:p>
      <w:pPr>
        <w:numPr>
          <w:ilvl w:val="0"/>
          <w:numId w:val="1"/>
        </w:numPr>
        <w:spacing w:line="360" w:lineRule="auto"/>
        <w:ind w:firstLine="440" w:firstLineChars="200"/>
        <w:rPr>
          <w:rFonts w:hint="eastAsia" w:asciiTheme="minorEastAsia" w:hAnsiTheme="minorEastAsia"/>
          <w:sz w:val="22"/>
        </w:rPr>
      </w:pPr>
      <w:r>
        <w:rPr>
          <w:rFonts w:hint="eastAsia" w:asciiTheme="minorEastAsia" w:hAnsiTheme="minorEastAsia"/>
          <w:sz w:val="22"/>
        </w:rPr>
        <w:t>本项目主要材料品牌推荐表如下：</w:t>
      </w:r>
    </w:p>
    <w:tbl>
      <w:tblPr>
        <w:tblStyle w:val="6"/>
        <w:tblW w:w="913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8"/>
        <w:gridCol w:w="1164"/>
        <w:gridCol w:w="634"/>
        <w:gridCol w:w="1352"/>
        <w:gridCol w:w="54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材料设备名称</w:t>
            </w: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推荐品牌、系列</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制造商名称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石膏板</w:t>
            </w: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龙牌</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"供应商基本信息/北新集团建材股份有限公司"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北新集团建材股份有限公司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杰科</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800080"/>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"供应商基本信息\\圣戈班高科技材料（上海）有限公司"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圣戈班高科技材料（上海）有限公司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KNF</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"供应商基本信息\\可耐福新加坡有限公司（KNAUF SINGAPORE PTE LTD）"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可耐福新加坡有限公司（KNAUF SINGAPORE PTE LTD）</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内外墙涂料</w:t>
            </w: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三棵树</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"供应商基本信息/三棵树涂料股份有限公司"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三棵树涂料股份有限公司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立邦</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"供应商基本信息/立邦涂料(中国)有限公司"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立邦涂料(中国)有限公司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亚士</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"供应商基本信息/亚士创能科技（上海）股份有限公司"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亚士创能科技（上海）股份有限公司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丰彩</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"供应商基本信息/江苏丰彩建材（集团）有限公司"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江苏丰彩建材（集团）有限公司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铝合金门窗</w:t>
            </w: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型材</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亚洲铝业</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"供应商基本信息/肇庆亚洲铝厂有限公司"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肇庆亚洲铝厂有限公司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凤铝</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"供应商基本信息/广东凤铝铝业有限公司"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广东凤铝铝业有限公司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栋梁</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"供应商基本信息/栋梁铝业有限公司"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栋梁铝业有限公司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五金配件</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合和建筑五金</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"供应商基本信息/广东合和建筑五金制品有限公司"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广东合和建筑五金制品有限公司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坚朗</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"供应商基本信息/广东坚朗五金制品股份有限公司"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广东坚朗五金制品股份有限公司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杨氏立兴</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"供应商基本信息/青岛立兴杨氏门窗配件有限公司"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青岛立兴杨氏门窗配件有限公司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玻璃原片</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南玻</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"供应商基本信息/中国南玻集团股份有限公司"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中国南玻集团股份有限公司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耀皮</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"供应商基本信息/上海耀皮玻璃集团股份有限公司"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上海耀皮玻璃集团股份有限公司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金晶</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"供应商基本信息/山东金晶科技股份有限公司"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山东金晶科技股份有限公司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密封胶</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陶熙 DOWSIL</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"供应商基本信息\\陶氏化学（中国）投资有限公司"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陶氏化学（中国）投资有限公司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汉高</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"供应商基本信息\\汉高股份有限及两合公司"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汉高股份有限及两合公司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"供应商基本信息\\3M中国有限公司"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3M中国有限公司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KÖMMERLING</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"供应商基本信息\\科梅林（南京）新材料有限公司"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科梅林（南京）新材料有限公司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铝条</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UOP</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"供应商基本信息\\优欧辟环球油品工艺技术有限公司"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优欧辟环球油品工艺技术有限公司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李赛克</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"供应商基本信息\\李赛克机械贸易（上海）有限公司"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李赛克机械贸易（上海）有限公司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圣戈班</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800080"/>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"供应商基本信息\\圣戈班（中国）投资有限公司"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圣戈班(中国)投资有限公司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分子筛</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富龙</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"供应商基本信息\\郑州富龙新材料科技有限公司"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郑州富龙新材料科技有限公司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李赛克</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"供应商基本信息\\李赛克机械贸易（上海）有限公司"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李赛克机械贸易（上海）有限公司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绿能</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"供应商基本信息\\山东能特异能源科技有限公司"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山东能特异能源科技有限公司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丁基胶</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KÖMMERLING</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"供应商基本信息\\科梅林（南京）新材料有限公司"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科梅林（南京）新材料有限公司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富龙</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"供应商基本信息\\郑州富龙新材料科技有限公司"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郑州富龙新材料科技有限公司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UOP</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"供应商基本信息\\优欧辟环球油品工艺技术有限公司"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优欧辟环球油品工艺技术有限公司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胶片</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佳氏福</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"供应商基本信息\\可乐丽国际贸易（上海）有限公司"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可乐丽国际贸易（上海）有限公司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杜邦</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"供应商基本信息\\杜邦中国集团有限公司"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杜邦中国集团有限公司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圣瑞</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"供应商基本信息\\浙江圣瑞塑胶有限公司"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浙江圣瑞塑胶有限公司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（室内）铝板吊顶</w:t>
            </w: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汇隆</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800080"/>
                <w:kern w:val="2"/>
                <w:sz w:val="20"/>
                <w:szCs w:val="20"/>
                <w:u w:val="single"/>
                <w:lang w:val="en-US" w:eastAsia="zh-CN" w:bidi="ar-SA"/>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"供应商基本信息/佛山市长盛汇隆装饰材料有限公司"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佛山市长盛汇隆装饰材料有限公司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欧斯宝</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800080"/>
                <w:kern w:val="2"/>
                <w:sz w:val="20"/>
                <w:szCs w:val="20"/>
                <w:u w:val="single"/>
                <w:lang w:val="en-US" w:eastAsia="zh-CN" w:bidi="ar-SA"/>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"供应商基本信息/广州市欧斯宝金属制品有限公司"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广州市欧斯宝金属制品有限公司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欧陆</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800080"/>
                <w:kern w:val="2"/>
                <w:sz w:val="20"/>
                <w:szCs w:val="20"/>
                <w:u w:val="single"/>
                <w:lang w:val="en-US" w:eastAsia="zh-CN" w:bidi="ar-SA"/>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"供应商基本信息/广州市欧陆建材有限公司"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广州市欧陆建材有限公司</w:t>
            </w:r>
            <w:r>
              <w:rPr>
                <w:rFonts w:hint="eastAsia" w:ascii="宋体" w:hAnsi="宋体" w:eastAsia="宋体" w:cs="宋体"/>
                <w:i w:val="0"/>
                <w:iCs w:val="0"/>
                <w:kern w:val="0"/>
                <w:sz w:val="20"/>
                <w:szCs w:val="20"/>
                <w:u w:val="single"/>
                <w:lang w:val="en-US" w:eastAsia="zh-CN" w:bidi="ar"/>
              </w:rPr>
              <w:fldChar w:fldCharType="end"/>
            </w:r>
          </w:p>
        </w:tc>
      </w:tr>
    </w:tbl>
    <w:p>
      <w:pPr>
        <w:numPr>
          <w:ilvl w:val="0"/>
          <w:numId w:val="0"/>
        </w:numPr>
        <w:spacing w:line="360" w:lineRule="auto"/>
        <w:rPr>
          <w:rFonts w:hint="eastAsia" w:asciiTheme="minorEastAsia" w:hAnsiTheme="minorEastAsia"/>
          <w:sz w:val="22"/>
        </w:rPr>
      </w:pPr>
    </w:p>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hint="eastAsia" w:asciiTheme="minorEastAsia" w:hAnsiTheme="minorEastAsia"/>
          <w:b/>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hint="eastAsia" w:asciiTheme="minorEastAsia" w:hAnsiTheme="minorEastAsia"/>
          <w:b/>
          <w:sz w:val="22"/>
        </w:rPr>
      </w:pPr>
      <w:r>
        <w:rPr>
          <w:rFonts w:hint="eastAsia" w:asciiTheme="minorEastAsia" w:hAnsiTheme="minorEastAsia"/>
          <w:b/>
          <w:sz w:val="22"/>
        </w:rPr>
        <w:t>招标人自行采购的主要材料设备</w:t>
      </w:r>
      <w:r>
        <w:rPr>
          <w:rFonts w:hint="eastAsia" w:asciiTheme="minorEastAsia" w:hAnsiTheme="minorEastAsia"/>
          <w:b/>
          <w:sz w:val="22"/>
          <w:lang w:eastAsia="zh-CN"/>
        </w:rPr>
        <w:t>：</w:t>
      </w:r>
      <w:r>
        <w:rPr>
          <w:rFonts w:hint="eastAsia" w:asciiTheme="minorEastAsia" w:hAnsiTheme="minorEastAsia"/>
          <w:b/>
          <w:sz w:val="22"/>
          <w:lang w:val="en-US" w:eastAsia="zh-CN"/>
        </w:rPr>
        <w:t>无。</w:t>
      </w:r>
    </w:p>
    <w:p>
      <w:pPr>
        <w:numPr>
          <w:ilvl w:val="0"/>
          <w:numId w:val="0"/>
        </w:num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hint="eastAsia"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default" w:asciiTheme="minorEastAsia" w:hAnsiTheme="minorEastAsia" w:eastAsiaTheme="minorEastAsia"/>
          <w:sz w:val="22"/>
          <w:lang w:val="en-US" w:eastAsia="zh-CN"/>
        </w:rPr>
      </w:pP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F5233"/>
    <w:multiLevelType w:val="singleLevel"/>
    <w:tmpl w:val="127F5233"/>
    <w:lvl w:ilvl="0" w:tentative="0">
      <w:start w:val="1"/>
      <w:numFmt w:val="decimal"/>
      <w:suff w:val="nothing"/>
      <w:lvlText w:val="%1、"/>
      <w:lvlJc w:val="left"/>
    </w:lvl>
  </w:abstractNum>
  <w:abstractNum w:abstractNumId="1">
    <w:nsid w:val="3C6CA550"/>
    <w:multiLevelType w:val="singleLevel"/>
    <w:tmpl w:val="3C6CA55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0ZjU1ODI5NDI1ZTM3MGFjNWQxMTE1NWYwMWM5NGM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86910"/>
    <w:rsid w:val="00EE0655"/>
    <w:rsid w:val="00EF2517"/>
    <w:rsid w:val="00F54A72"/>
    <w:rsid w:val="00F82DC4"/>
    <w:rsid w:val="054E09BE"/>
    <w:rsid w:val="06CD3D27"/>
    <w:rsid w:val="08634780"/>
    <w:rsid w:val="095F3199"/>
    <w:rsid w:val="0C882A07"/>
    <w:rsid w:val="14D0319D"/>
    <w:rsid w:val="154F35C2"/>
    <w:rsid w:val="18F96548"/>
    <w:rsid w:val="19335AC7"/>
    <w:rsid w:val="1E197963"/>
    <w:rsid w:val="208C266E"/>
    <w:rsid w:val="21863561"/>
    <w:rsid w:val="249C309C"/>
    <w:rsid w:val="27363334"/>
    <w:rsid w:val="2D7B5F44"/>
    <w:rsid w:val="2DB45933"/>
    <w:rsid w:val="2E183793"/>
    <w:rsid w:val="32230959"/>
    <w:rsid w:val="34120C85"/>
    <w:rsid w:val="36EA7C97"/>
    <w:rsid w:val="3C1E682E"/>
    <w:rsid w:val="409D5D7A"/>
    <w:rsid w:val="40CE4185"/>
    <w:rsid w:val="43055FD1"/>
    <w:rsid w:val="43B458B4"/>
    <w:rsid w:val="4462309D"/>
    <w:rsid w:val="458D460F"/>
    <w:rsid w:val="4698326B"/>
    <w:rsid w:val="46BD2CD2"/>
    <w:rsid w:val="49EB7B56"/>
    <w:rsid w:val="4B8200C1"/>
    <w:rsid w:val="4DA644C0"/>
    <w:rsid w:val="4E557C94"/>
    <w:rsid w:val="4EE83B2F"/>
    <w:rsid w:val="4F895E47"/>
    <w:rsid w:val="50BC3CDB"/>
    <w:rsid w:val="517D3696"/>
    <w:rsid w:val="570109B9"/>
    <w:rsid w:val="57114C89"/>
    <w:rsid w:val="58C44394"/>
    <w:rsid w:val="58E24F48"/>
    <w:rsid w:val="59FD7B5D"/>
    <w:rsid w:val="5DBC1ADE"/>
    <w:rsid w:val="5EBA101D"/>
    <w:rsid w:val="5F0B0627"/>
    <w:rsid w:val="61B43701"/>
    <w:rsid w:val="666B1358"/>
    <w:rsid w:val="68E84705"/>
    <w:rsid w:val="6ADF0BB9"/>
    <w:rsid w:val="6BCE4EB6"/>
    <w:rsid w:val="6BD047A7"/>
    <w:rsid w:val="6DDD7632"/>
    <w:rsid w:val="6E470F4F"/>
    <w:rsid w:val="6FBC6843"/>
    <w:rsid w:val="717007BD"/>
    <w:rsid w:val="717A221D"/>
    <w:rsid w:val="72EA55F4"/>
    <w:rsid w:val="7510653F"/>
    <w:rsid w:val="7DA912DF"/>
    <w:rsid w:val="7F99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semiHidden/>
    <w:unhideWhenUsed/>
    <w:qFormat/>
    <w:uiPriority w:val="99"/>
    <w:rPr>
      <w:color w:val="0000FF"/>
      <w:u w:val="single"/>
    </w:rPr>
  </w:style>
  <w:style w:type="character" w:customStyle="1" w:styleId="10">
    <w:name w:val="页眉 Char"/>
    <w:basedOn w:val="8"/>
    <w:link w:val="4"/>
    <w:autoRedefine/>
    <w:qFormat/>
    <w:uiPriority w:val="99"/>
    <w:rPr>
      <w:sz w:val="18"/>
      <w:szCs w:val="18"/>
    </w:rPr>
  </w:style>
  <w:style w:type="character" w:customStyle="1" w:styleId="11">
    <w:name w:val="页脚 Char"/>
    <w:basedOn w:val="8"/>
    <w:link w:val="3"/>
    <w:qFormat/>
    <w:uiPriority w:val="99"/>
    <w:rPr>
      <w:sz w:val="18"/>
      <w:szCs w:val="18"/>
    </w:rPr>
  </w:style>
  <w:style w:type="character" w:customStyle="1" w:styleId="12">
    <w:name w:val="批注框文本 Char"/>
    <w:basedOn w:val="8"/>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2926</Words>
  <Characters>3075</Characters>
  <Lines>19</Lines>
  <Paragraphs>5</Paragraphs>
  <TotalTime>12</TotalTime>
  <ScaleCrop>false</ScaleCrop>
  <LinksUpToDate>false</LinksUpToDate>
  <CharactersWithSpaces>3087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JK</cp:lastModifiedBy>
  <dcterms:modified xsi:type="dcterms:W3CDTF">2024-06-28T02:57:02Z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2B3D43B43BD54DF79D25641F6FB2CA67_13</vt:lpwstr>
  </property>
</Properties>
</file>