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17" w:rsidRPr="00C22D3E" w:rsidRDefault="00C22D3E" w:rsidP="005E22A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Theme="majorEastAsia" w:eastAsiaTheme="majorEastAsia" w:hAnsiTheme="majorEastAsia" w:cs="宋体"/>
          <w:b/>
          <w:bCs/>
          <w:color w:val="000000"/>
          <w:kern w:val="36"/>
          <w:szCs w:val="28"/>
          <w:u w:val="none"/>
        </w:rPr>
      </w:pPr>
      <w:r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南基（工</w:t>
      </w:r>
      <w:r w:rsidR="009202CB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）2018-</w:t>
      </w:r>
      <w:r w:rsidR="00935D8B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216</w:t>
      </w:r>
      <w:r w:rsidR="0009359E" w:rsidRPr="00C22D3E">
        <w:rPr>
          <w:rFonts w:ascii="宋体" w:hAnsi="宋体" w:hint="eastAsia"/>
          <w:b/>
          <w:bCs/>
          <w:szCs w:val="28"/>
          <w:u w:val="none"/>
        </w:rPr>
        <w:t>南京大学鼓楼校区</w:t>
      </w:r>
      <w:r w:rsidR="00935D8B" w:rsidRPr="00935D8B">
        <w:rPr>
          <w:rFonts w:hAnsi="宋体" w:hint="eastAsia"/>
          <w:b/>
          <w:sz w:val="30"/>
          <w:szCs w:val="30"/>
          <w:u w:val="none"/>
        </w:rPr>
        <w:t>平仓巷外教公寓安防系统改造</w:t>
      </w:r>
      <w:r w:rsidR="00454BC5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询价</w:t>
      </w:r>
      <w:r w:rsidR="00275417" w:rsidRPr="00C22D3E">
        <w:rPr>
          <w:rFonts w:asciiTheme="majorEastAsia" w:eastAsiaTheme="majorEastAsia" w:hAnsiTheme="majorEastAsia" w:cs="宋体" w:hint="eastAsia"/>
          <w:b/>
          <w:bCs/>
          <w:color w:val="000000"/>
          <w:kern w:val="36"/>
          <w:szCs w:val="28"/>
          <w:u w:val="none"/>
        </w:rPr>
        <w:t>公告</w:t>
      </w:r>
    </w:p>
    <w:p w:rsidR="008E7203" w:rsidRDefault="008E7203" w:rsidP="0043548A">
      <w:pPr>
        <w:widowControl/>
        <w:shd w:val="clear" w:color="auto" w:fill="FFFFFF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根据相关法律法规和学校规章规定，南京大学基本建设处（以下简称基建处）现拟</w:t>
      </w:r>
      <w:r>
        <w:rPr>
          <w:rFonts w:ascii="仿宋" w:hAnsi="仿宋" w:cs="宋体"/>
          <w:color w:val="000000"/>
          <w:kern w:val="0"/>
          <w:sz w:val="24"/>
          <w:u w:val="none"/>
        </w:rPr>
        <w:t>对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该项目进行询价采购，欢迎符合资质的供应商参与。</w:t>
      </w:r>
    </w:p>
    <w:p w:rsidR="006E2B86" w:rsidRPr="006E2B86" w:rsidRDefault="006E2B86" w:rsidP="006521E1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一、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公告信息</w:t>
      </w:r>
    </w:p>
    <w:tbl>
      <w:tblPr>
        <w:tblStyle w:val="ae"/>
        <w:tblW w:w="0" w:type="auto"/>
        <w:tblLook w:val="04A0"/>
      </w:tblPr>
      <w:tblGrid>
        <w:gridCol w:w="1555"/>
        <w:gridCol w:w="7279"/>
      </w:tblGrid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项目名称</w:t>
            </w:r>
          </w:p>
        </w:tc>
        <w:tc>
          <w:tcPr>
            <w:tcW w:w="7279" w:type="dxa"/>
          </w:tcPr>
          <w:p w:rsidR="006E2B86" w:rsidRPr="00935D8B" w:rsidRDefault="00935D8B" w:rsidP="0043548A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  <w:bdr w:val="none" w:sz="0" w:space="0" w:color="auto" w:frame="1"/>
              </w:rPr>
            </w:pPr>
            <w:r w:rsidRPr="00935D8B">
              <w:rPr>
                <w:rFonts w:hAnsi="宋体" w:hint="eastAsia"/>
                <w:sz w:val="24"/>
                <w:u w:val="none"/>
              </w:rPr>
              <w:t>南京大学鼓楼校区平仓巷外教公寓安防系统改造</w:t>
            </w:r>
          </w:p>
        </w:tc>
      </w:tr>
      <w:tr w:rsidR="006E2B86" w:rsidTr="00BB461F">
        <w:tc>
          <w:tcPr>
            <w:tcW w:w="1555" w:type="dxa"/>
          </w:tcPr>
          <w:p w:rsidR="006E2B86" w:rsidRDefault="00203799" w:rsidP="0043548A">
            <w:pPr>
              <w:widowControl/>
              <w:spacing w:line="288" w:lineRule="auto"/>
              <w:jc w:val="center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项目</w:t>
            </w:r>
            <w:r w:rsidR="006E2B86" w:rsidRPr="00275417"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编号</w:t>
            </w:r>
          </w:p>
        </w:tc>
        <w:tc>
          <w:tcPr>
            <w:tcW w:w="7279" w:type="dxa"/>
          </w:tcPr>
          <w:p w:rsidR="006E2B86" w:rsidRPr="006E2B86" w:rsidRDefault="008D75C1" w:rsidP="00C22D3E">
            <w:pPr>
              <w:widowControl/>
              <w:shd w:val="clear" w:color="auto" w:fill="FFFFFF"/>
              <w:spacing w:line="288" w:lineRule="auto"/>
              <w:rPr>
                <w:rFonts w:ascii="仿宋" w:hAnsi="仿宋" w:cs="宋体"/>
                <w:color w:val="000000"/>
                <w:kern w:val="0"/>
                <w:sz w:val="21"/>
                <w:szCs w:val="21"/>
                <w:u w:val="none"/>
              </w:rPr>
            </w:pP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南基（</w:t>
            </w:r>
            <w:r w:rsidR="00C22D3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工</w:t>
            </w:r>
            <w:r w:rsidRPr="008D75C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）2018-</w:t>
            </w:r>
            <w:r w:rsidR="00935D8B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216</w:t>
            </w:r>
          </w:p>
        </w:tc>
      </w:tr>
      <w:tr w:rsidR="006E2B86" w:rsidTr="00BB461F">
        <w:tc>
          <w:tcPr>
            <w:tcW w:w="1555" w:type="dxa"/>
          </w:tcPr>
          <w:p w:rsidR="006E2B86" w:rsidRPr="00275417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6E2B86" w:rsidRPr="006E2B86" w:rsidRDefault="006E2B86" w:rsidP="0009359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2018年</w:t>
            </w:r>
            <w:r w:rsidR="0009359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11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月</w:t>
            </w:r>
            <w:r w:rsidR="00A7083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</w:t>
            </w:r>
            <w:r w:rsidR="00935D8B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8</w:t>
            </w: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日 </w:t>
            </w:r>
            <w:r w:rsidR="0009359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1</w:t>
            </w:r>
            <w:r w:rsidR="00935D8B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:</w:t>
            </w:r>
            <w:r w:rsidR="0009359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  <w:r w:rsidR="002D0680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0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地点</w:t>
            </w:r>
          </w:p>
        </w:tc>
        <w:tc>
          <w:tcPr>
            <w:tcW w:w="7279" w:type="dxa"/>
          </w:tcPr>
          <w:p w:rsidR="006E2B86" w:rsidRPr="006E2B86" w:rsidRDefault="006E2B86" w:rsidP="00E2504E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南京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大学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鼓楼</w:t>
            </w:r>
            <w:r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校区综合楼</w:t>
            </w:r>
            <w:r w:rsidR="00E2504E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504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报名</w:t>
            </w:r>
            <w:r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6E2B86" w:rsidRPr="006E2B86" w:rsidRDefault="00712840" w:rsidP="00BB04AD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投标人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直接携带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响应文件（必须密封文件,密封口盖骑缝章）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和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资格审查资料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于开标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前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至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开标地点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等候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开标。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超过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开标时间，</w:t>
            </w:r>
            <w:r w:rsidR="006E2B86" w:rsidRP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则视为</w:t>
            </w:r>
            <w:r w:rsidR="006E2B86" w:rsidRP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自动放弃。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联系人</w:t>
            </w:r>
          </w:p>
        </w:tc>
        <w:tc>
          <w:tcPr>
            <w:tcW w:w="7279" w:type="dxa"/>
          </w:tcPr>
          <w:p w:rsidR="006E2B86" w:rsidRP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贺</w:t>
            </w:r>
            <w:r w:rsidR="006E2B86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老师</w:t>
            </w:r>
          </w:p>
        </w:tc>
      </w:tr>
      <w:tr w:rsidR="006E2B86" w:rsidTr="00BB461F">
        <w:tc>
          <w:tcPr>
            <w:tcW w:w="1555" w:type="dxa"/>
          </w:tcPr>
          <w:p w:rsidR="006E2B86" w:rsidRDefault="006E2B86" w:rsidP="0043548A">
            <w:pPr>
              <w:widowControl/>
              <w:spacing w:line="288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电子邮箱</w:t>
            </w:r>
          </w:p>
        </w:tc>
        <w:tc>
          <w:tcPr>
            <w:tcW w:w="7279" w:type="dxa"/>
          </w:tcPr>
          <w:p w:rsidR="006E2B86" w:rsidRDefault="0009359E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275568278</w:t>
            </w:r>
            <w:r w:rsidR="006E2B86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@</w:t>
            </w: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qq.com</w:t>
            </w:r>
          </w:p>
        </w:tc>
      </w:tr>
    </w:tbl>
    <w:p w:rsidR="00873D8F" w:rsidRPr="00BB04AD" w:rsidRDefault="006E2B86" w:rsidP="006521E1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二、</w:t>
      </w:r>
      <w:r w:rsidR="000E5A65" w:rsidRPr="006E2B86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采购要求</w:t>
      </w:r>
    </w:p>
    <w:tbl>
      <w:tblPr>
        <w:tblStyle w:val="ae"/>
        <w:tblW w:w="0" w:type="auto"/>
        <w:jc w:val="center"/>
        <w:tblLook w:val="04A0"/>
      </w:tblPr>
      <w:tblGrid>
        <w:gridCol w:w="1555"/>
        <w:gridCol w:w="7279"/>
      </w:tblGrid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8D75C1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质量</w:t>
            </w:r>
            <w:r w:rsidR="003F0DE7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标准</w:t>
            </w:r>
          </w:p>
        </w:tc>
        <w:tc>
          <w:tcPr>
            <w:tcW w:w="7279" w:type="dxa"/>
          </w:tcPr>
          <w:p w:rsidR="00203799" w:rsidRPr="00816D54" w:rsidRDefault="00935D8B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详见工程量编制说明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基本</w:t>
            </w:r>
            <w:r w:rsidR="008D75C1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要求</w:t>
            </w:r>
          </w:p>
        </w:tc>
        <w:tc>
          <w:tcPr>
            <w:tcW w:w="7279" w:type="dxa"/>
          </w:tcPr>
          <w:p w:rsidR="00D869AE" w:rsidRPr="00935D8B" w:rsidRDefault="00935D8B" w:rsidP="00816D54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935D8B">
              <w:rPr>
                <w:rFonts w:hAnsi="宋体" w:hint="eastAsia"/>
                <w:sz w:val="24"/>
                <w:u w:val="none"/>
              </w:rPr>
              <w:t>南京大学鼓楼校区平仓巷外教公寓安防系统改造，本工程含</w:t>
            </w:r>
            <w:bookmarkStart w:id="0" w:name="OLE_LINK2"/>
            <w:r w:rsidRPr="00935D8B">
              <w:rPr>
                <w:rFonts w:hAnsi="宋体" w:hint="eastAsia"/>
                <w:sz w:val="24"/>
                <w:u w:val="none"/>
              </w:rPr>
              <w:t>一栋、二栋、三栋的监控、门禁系统</w:t>
            </w:r>
            <w:bookmarkEnd w:id="0"/>
            <w:r w:rsidRPr="00935D8B">
              <w:rPr>
                <w:rFonts w:hAnsi="宋体" w:hint="eastAsia"/>
                <w:sz w:val="24"/>
                <w:u w:val="none"/>
              </w:rPr>
              <w:t>安装改造工程。</w:t>
            </w:r>
          </w:p>
        </w:tc>
      </w:tr>
      <w:tr w:rsidR="00BB04AD" w:rsidTr="002572D2">
        <w:trPr>
          <w:jc w:val="center"/>
        </w:trPr>
        <w:tc>
          <w:tcPr>
            <w:tcW w:w="1555" w:type="dxa"/>
            <w:vAlign w:val="center"/>
          </w:tcPr>
          <w:p w:rsidR="00BB04AD" w:rsidRDefault="00BB04AD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期限</w:t>
            </w:r>
          </w:p>
        </w:tc>
        <w:tc>
          <w:tcPr>
            <w:tcW w:w="7279" w:type="dxa"/>
          </w:tcPr>
          <w:p w:rsidR="00BB04AD" w:rsidRPr="00816D54" w:rsidRDefault="00BB04AD" w:rsidP="00BB04AD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质保期为24个月，质保期内如产品自身质量问题，乙方须及时给予解决。</w:t>
            </w:r>
          </w:p>
        </w:tc>
      </w:tr>
      <w:tr w:rsid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203799" w:rsidP="002572D2">
            <w:pPr>
              <w:widowControl/>
              <w:shd w:val="clear" w:color="auto" w:fill="FFFFFF"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供货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时间</w:t>
            </w:r>
          </w:p>
        </w:tc>
        <w:tc>
          <w:tcPr>
            <w:tcW w:w="7279" w:type="dxa"/>
          </w:tcPr>
          <w:p w:rsidR="00203799" w:rsidRPr="00816D54" w:rsidRDefault="00935D8B" w:rsidP="00935D8B">
            <w:pPr>
              <w:widowControl/>
              <w:shd w:val="clear" w:color="auto" w:fill="FFFFFF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宋体" w:hAnsi="宋体" w:hint="eastAsia"/>
                <w:sz w:val="24"/>
                <w:u w:val="none"/>
              </w:rPr>
              <w:t>接甲方通知，</w:t>
            </w:r>
            <w:r>
              <w:rPr>
                <w:rFonts w:ascii="宋体" w:hAnsi="宋体" w:hint="eastAsia"/>
                <w:sz w:val="24"/>
                <w:u w:val="none"/>
              </w:rPr>
              <w:t>20</w:t>
            </w:r>
            <w:r>
              <w:rPr>
                <w:rFonts w:ascii="宋体" w:hAnsi="宋体" w:hint="eastAsia"/>
                <w:sz w:val="24"/>
                <w:u w:val="none"/>
              </w:rPr>
              <w:t>天内完工</w:t>
            </w:r>
          </w:p>
        </w:tc>
      </w:tr>
      <w:tr w:rsidR="00203799" w:rsidRPr="00203799" w:rsidTr="002572D2">
        <w:trPr>
          <w:jc w:val="center"/>
        </w:trPr>
        <w:tc>
          <w:tcPr>
            <w:tcW w:w="1555" w:type="dxa"/>
            <w:vAlign w:val="center"/>
          </w:tcPr>
          <w:p w:rsidR="00203799" w:rsidRDefault="00203799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付款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方式</w:t>
            </w:r>
          </w:p>
        </w:tc>
        <w:tc>
          <w:tcPr>
            <w:tcW w:w="7279" w:type="dxa"/>
          </w:tcPr>
          <w:p w:rsidR="00203799" w:rsidRPr="00816D54" w:rsidRDefault="00935D8B" w:rsidP="009E12AD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无预付款，工程竣工验收合格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、工程结算审计结束后，承包人</w:t>
            </w:r>
            <w:r w:rsidR="006521E1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向发包人</w:t>
            </w:r>
            <w:r w:rsidR="009E12AD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缴纳审定金额3%的质保金，发包人付至审定价的100%，质保期满后退还3%质保金。</w:t>
            </w:r>
            <w:r w:rsidR="009E12AD" w:rsidRPr="00816D54"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 xml:space="preserve"> </w:t>
            </w:r>
          </w:p>
        </w:tc>
      </w:tr>
      <w:tr w:rsidR="003F0DE7" w:rsidTr="002572D2">
        <w:trPr>
          <w:jc w:val="center"/>
        </w:trPr>
        <w:tc>
          <w:tcPr>
            <w:tcW w:w="1555" w:type="dxa"/>
            <w:vAlign w:val="center"/>
          </w:tcPr>
          <w:p w:rsidR="003F0DE7" w:rsidRDefault="003F0DE7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</w:t>
            </w:r>
            <w:r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说明</w:t>
            </w:r>
          </w:p>
        </w:tc>
        <w:tc>
          <w:tcPr>
            <w:tcW w:w="7279" w:type="dxa"/>
          </w:tcPr>
          <w:p w:rsidR="003F0DE7" w:rsidRPr="007E297A" w:rsidRDefault="00935D8B" w:rsidP="0004056D">
            <w:pPr>
              <w:widowControl/>
              <w:shd w:val="clear" w:color="auto" w:fill="FFFFFF"/>
              <w:adjustRightInd w:val="0"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详见工程量编制说明</w:t>
            </w:r>
          </w:p>
        </w:tc>
      </w:tr>
      <w:tr w:rsidR="003F0DE7" w:rsidTr="002572D2">
        <w:trPr>
          <w:jc w:val="center"/>
        </w:trPr>
        <w:tc>
          <w:tcPr>
            <w:tcW w:w="1555" w:type="dxa"/>
            <w:vAlign w:val="center"/>
          </w:tcPr>
          <w:p w:rsidR="003F0DE7" w:rsidRDefault="003F0DE7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报价单</w:t>
            </w:r>
          </w:p>
        </w:tc>
        <w:tc>
          <w:tcPr>
            <w:tcW w:w="7279" w:type="dxa"/>
          </w:tcPr>
          <w:p w:rsidR="003F0DE7" w:rsidRPr="00E02927" w:rsidRDefault="003F0DE7" w:rsidP="0043548A">
            <w:pPr>
              <w:widowControl/>
              <w:spacing w:line="288" w:lineRule="auto"/>
              <w:jc w:val="left"/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</w:pPr>
            <w:r w:rsidRPr="00E02927">
              <w:rPr>
                <w:rFonts w:ascii="仿宋" w:hAnsi="仿宋" w:cs="宋体" w:hint="eastAsia"/>
                <w:color w:val="000000"/>
                <w:kern w:val="0"/>
                <w:sz w:val="24"/>
                <w:bdr w:val="none" w:sz="0" w:space="0" w:color="auto" w:frame="1"/>
              </w:rPr>
              <w:t>见</w:t>
            </w:r>
            <w:r w:rsidRPr="00E02927">
              <w:rPr>
                <w:rFonts w:ascii="仿宋" w:hAnsi="仿宋" w:cs="宋体"/>
                <w:color w:val="000000"/>
                <w:kern w:val="0"/>
                <w:sz w:val="24"/>
                <w:bdr w:val="none" w:sz="0" w:space="0" w:color="auto" w:frame="1"/>
              </w:rPr>
              <w:t>附件</w:t>
            </w:r>
          </w:p>
        </w:tc>
      </w:tr>
      <w:tr w:rsidR="003F0DE7" w:rsidTr="002572D2">
        <w:trPr>
          <w:trHeight w:val="551"/>
          <w:jc w:val="center"/>
        </w:trPr>
        <w:tc>
          <w:tcPr>
            <w:tcW w:w="1555" w:type="dxa"/>
            <w:vAlign w:val="center"/>
          </w:tcPr>
          <w:p w:rsidR="003F0DE7" w:rsidRDefault="00A30B4A" w:rsidP="002572D2">
            <w:pPr>
              <w:widowControl/>
              <w:spacing w:line="288" w:lineRule="auto"/>
              <w:jc w:val="center"/>
              <w:textAlignment w:val="center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其他</w:t>
            </w:r>
          </w:p>
        </w:tc>
        <w:tc>
          <w:tcPr>
            <w:tcW w:w="7279" w:type="dxa"/>
          </w:tcPr>
          <w:p w:rsidR="003F0DE7" w:rsidRPr="00816D54" w:rsidRDefault="003F0DE7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left="357" w:firstLineChars="0" w:hanging="357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供货时根据工程需要提供相关资料</w:t>
            </w:r>
            <w:r w:rsidR="00F97399"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。</w:t>
            </w:r>
          </w:p>
          <w:p w:rsidR="00BB04AD" w:rsidRPr="00816D54" w:rsidRDefault="00BB04AD" w:rsidP="00BB04AD">
            <w:pPr>
              <w:pStyle w:val="a9"/>
              <w:widowControl/>
              <w:numPr>
                <w:ilvl w:val="0"/>
                <w:numId w:val="14"/>
              </w:numPr>
              <w:adjustRightInd w:val="0"/>
              <w:spacing w:line="288" w:lineRule="auto"/>
              <w:ind w:firstLineChars="0"/>
              <w:jc w:val="left"/>
              <w:rPr>
                <w:rFonts w:ascii="仿宋" w:hAnsi="仿宋" w:cs="宋体"/>
                <w:color w:val="000000"/>
                <w:kern w:val="0"/>
                <w:sz w:val="24"/>
                <w:u w:val="none"/>
                <w:bdr w:val="none" w:sz="0" w:space="0" w:color="auto" w:frame="1"/>
              </w:rPr>
            </w:pPr>
            <w:r w:rsidRPr="00816D54">
              <w:rPr>
                <w:rFonts w:ascii="仿宋" w:hAnsi="仿宋" w:cs="宋体" w:hint="eastAsia"/>
                <w:color w:val="000000"/>
                <w:kern w:val="0"/>
                <w:sz w:val="24"/>
                <w:u w:val="none"/>
                <w:bdr w:val="none" w:sz="0" w:space="0" w:color="auto" w:frame="1"/>
              </w:rPr>
              <w:t>合同签订后，违约方必须支付对方合同总价的20%作为违约金。</w:t>
            </w:r>
          </w:p>
        </w:tc>
      </w:tr>
    </w:tbl>
    <w:p w:rsidR="00FE1F22" w:rsidRPr="00FE1F22" w:rsidRDefault="00FE1F22" w:rsidP="006521E1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三</w:t>
      </w:r>
      <w:r w:rsidR="00275417" w:rsidRPr="00FE1F22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供应商资格要求</w:t>
      </w:r>
    </w:p>
    <w:p w:rsidR="00597215" w:rsidRPr="00597215" w:rsidRDefault="004A51B2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 w:rsidR="00FE1F22"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资格要求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lastRenderedPageBreak/>
        <w:t>供应商具有独立法人资格，具有良好的商业信誉、健全的财务会计制度、履行合同所必需的设备和专业技术能力，并有依法缴纳税收和社会保障资金的良好记录。</w:t>
      </w:r>
      <w:r w:rsidRPr="00873D8F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本项目在其营业执照的经营范围之内。</w:t>
      </w:r>
    </w:p>
    <w:p w:rsidR="004C1CE1" w:rsidRPr="00597215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供应商不得有下列行为：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有违反法律、法规行为，依法被取消投标资格且期限未满的；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因为招投标活动中有违法违规和不良行为，被有关招投标行政监督部门公示且公示期限未满的；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处于被责令停业或者财产被接管冻结和破产状态；</w:t>
      </w:r>
    </w:p>
    <w:p w:rsidR="004C1CE1" w:rsidRPr="00597215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企业有因骗取中标或者严重违约以及发生重大工程质量、安全生产事故等问题，被有关部门暂停投标资格并在暂停期内的。</w:t>
      </w:r>
    </w:p>
    <w:p w:rsidR="004C1CE1" w:rsidRPr="001E47DE" w:rsidRDefault="004C1CE1" w:rsidP="004C1CE1">
      <w:pPr>
        <w:pStyle w:val="a9"/>
        <w:widowControl/>
        <w:numPr>
          <w:ilvl w:val="0"/>
          <w:numId w:val="12"/>
        </w:numPr>
        <w:shd w:val="clear" w:color="auto" w:fill="FFFFFF"/>
        <w:adjustRightInd w:val="0"/>
        <w:spacing w:line="288" w:lineRule="auto"/>
        <w:ind w:firstLineChars="0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201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6</w:t>
      </w:r>
      <w:r w:rsidRPr="001E47DE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年1月1日起至今被国家财政部指定的信用记录查询渠道（“信用中国”网站www.creditchina.gov.cn）列入失信被执行主体、重大税收违法案件当事主体、政府采购严重违法失信行为当事主体等严重失信记录名单的。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本项目不接受联合体报名。</w:t>
      </w:r>
    </w:p>
    <w:p w:rsidR="004C1CE1" w:rsidRDefault="004C1CE1" w:rsidP="004C1CE1">
      <w:pPr>
        <w:pStyle w:val="a9"/>
        <w:widowControl/>
        <w:numPr>
          <w:ilvl w:val="0"/>
          <w:numId w:val="8"/>
        </w:numPr>
        <w:shd w:val="clear" w:color="auto" w:fill="FFFFFF"/>
        <w:tabs>
          <w:tab w:val="clear" w:pos="1475"/>
          <w:tab w:val="num" w:pos="1616"/>
        </w:tabs>
        <w:adjustRightInd w:val="0"/>
        <w:spacing w:line="288" w:lineRule="auto"/>
        <w:ind w:left="1559" w:firstLineChars="0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对于拟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中标供应商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招标人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实施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审查，未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通过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资格审查</w:t>
      </w:r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的供应</w:t>
      </w:r>
      <w:proofErr w:type="gramStart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商取消</w:t>
      </w:r>
      <w:proofErr w:type="gramEnd"/>
      <w:r w:rsidRPr="003269A8"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其中标资格</w:t>
      </w:r>
      <w:r w:rsidRPr="003269A8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。</w:t>
      </w:r>
    </w:p>
    <w:p w:rsidR="00B53D3F" w:rsidRPr="000E5A65" w:rsidRDefault="00B53D3F" w:rsidP="0043548A">
      <w:pPr>
        <w:pStyle w:val="a9"/>
        <w:widowControl/>
        <w:numPr>
          <w:ilvl w:val="0"/>
          <w:numId w:val="5"/>
        </w:numPr>
        <w:shd w:val="clear" w:color="auto" w:fill="FFFFFF"/>
        <w:spacing w:line="288" w:lineRule="auto"/>
        <w:ind w:firstLineChars="0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开标</w:t>
      </w:r>
      <w:r w:rsidRPr="00597215"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时</w:t>
      </w:r>
      <w:r w:rsidRPr="00597215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需携带的资格审查材料</w:t>
      </w:r>
      <w:bookmarkStart w:id="1" w:name="_Hlk499005810"/>
      <w:bookmarkEnd w:id="1"/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有效的营业执照副本（复印件加盖公章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）；</w:t>
      </w:r>
    </w:p>
    <w:p w:rsidR="004C1CE1" w:rsidRPr="00711D4A" w:rsidRDefault="004C1CE1" w:rsidP="004C1CE1">
      <w:pPr>
        <w:widowControl/>
        <w:numPr>
          <w:ilvl w:val="0"/>
          <w:numId w:val="18"/>
        </w:numPr>
        <w:shd w:val="clear" w:color="auto" w:fill="FFFFFF"/>
        <w:adjustRightInd w:val="0"/>
        <w:spacing w:line="288" w:lineRule="auto"/>
        <w:ind w:left="1588" w:hanging="454"/>
        <w:jc w:val="left"/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</w:pP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法定代表人的法人证明书及身份证及法定代表人的授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权委托书和被授权人的身份证明文件（授权书须法定代表人签字并盖章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）（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身份证复印件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加盖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公</w:t>
      </w:r>
      <w:r w:rsidRPr="00711D4A"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章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，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原件备查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）。</w:t>
      </w:r>
    </w:p>
    <w:p w:rsidR="003269A8" w:rsidRDefault="003269A8" w:rsidP="006521E1">
      <w:pPr>
        <w:widowControl/>
        <w:shd w:val="clear" w:color="auto" w:fill="FFFFFF"/>
        <w:spacing w:beforeLines="50" w:afterLines="50" w:line="288" w:lineRule="auto"/>
        <w:ind w:firstLine="482"/>
        <w:jc w:val="left"/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四</w:t>
      </w:r>
      <w:r>
        <w:rPr>
          <w:rFonts w:ascii="黑体" w:eastAsia="黑体" w:hAnsi="黑体" w:cs="宋体"/>
          <w:b/>
          <w:bCs/>
          <w:color w:val="000000"/>
          <w:kern w:val="0"/>
          <w:sz w:val="24"/>
          <w:u w:val="none"/>
          <w:bdr w:val="none" w:sz="0" w:space="0" w:color="auto" w:frame="1"/>
        </w:rPr>
        <w:t>、</w:t>
      </w:r>
      <w:r w:rsidRPr="003269A8"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其他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  <w:u w:val="none"/>
          <w:bdr w:val="none" w:sz="0" w:space="0" w:color="auto" w:frame="1"/>
        </w:rPr>
        <w:t>事项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</w:rPr>
        <w:t>1、潜在供应商如有技术疑问，请直接将相关问题发送至前述电子邮箱。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2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、本项目采购</w:t>
      </w:r>
      <w:r>
        <w:rPr>
          <w:rFonts w:ascii="仿宋" w:hAnsi="仿宋" w:cs="宋体"/>
          <w:color w:val="000000"/>
          <w:kern w:val="0"/>
          <w:sz w:val="24"/>
          <w:u w:val="none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见基建处网站主页。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3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供应商须对其所提供资料的真实性和投标行为的合法性负责，如有作假或违纪，一经查实立即取消投标资格，并将其列入不良行为记录名单，在基建处网站主页进行实名通报，禁止参加基建处其他招标采购活动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1"/>
          <w:szCs w:val="21"/>
          <w:u w:val="none"/>
        </w:rPr>
      </w:pP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4、中标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供应商需在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中标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结果公示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(无异议)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后三个工作日内</w:t>
      </w:r>
      <w:r>
        <w:rPr>
          <w:rFonts w:ascii="仿宋" w:hAnsi="仿宋" w:cs="宋体" w:hint="eastAsia"/>
          <w:color w:val="000000"/>
          <w:kern w:val="0"/>
          <w:sz w:val="24"/>
          <w:u w:val="none"/>
          <w:bdr w:val="none" w:sz="0" w:space="0" w:color="auto" w:frame="1"/>
        </w:rPr>
        <w:t>前往</w:t>
      </w:r>
      <w:r>
        <w:rPr>
          <w:rFonts w:ascii="仿宋" w:hAnsi="仿宋" w:cs="宋体"/>
          <w:color w:val="000000"/>
          <w:kern w:val="0"/>
          <w:sz w:val="24"/>
          <w:u w:val="none"/>
          <w:bdr w:val="none" w:sz="0" w:space="0" w:color="auto" w:frame="1"/>
        </w:rPr>
        <w:t>基建处签订合同。</w:t>
      </w:r>
    </w:p>
    <w:p w:rsidR="008E5339" w:rsidRDefault="008E5339" w:rsidP="008E5339">
      <w:pPr>
        <w:widowControl/>
        <w:shd w:val="clear" w:color="auto" w:fill="FFFFFF"/>
        <w:adjustRightInd w:val="0"/>
        <w:spacing w:line="288" w:lineRule="auto"/>
        <w:ind w:firstLine="482"/>
        <w:jc w:val="left"/>
        <w:rPr>
          <w:rFonts w:ascii="仿宋" w:hAnsi="仿宋" w:cs="宋体"/>
          <w:color w:val="000000"/>
          <w:kern w:val="0"/>
          <w:sz w:val="24"/>
          <w:u w:val="none"/>
        </w:rPr>
      </w:pPr>
      <w:r>
        <w:rPr>
          <w:rFonts w:ascii="仿宋" w:hAnsi="仿宋" w:cs="宋体"/>
          <w:color w:val="000000"/>
          <w:kern w:val="0"/>
          <w:sz w:val="24"/>
          <w:u w:val="none"/>
        </w:rPr>
        <w:t>5</w:t>
      </w:r>
      <w:r>
        <w:rPr>
          <w:rFonts w:ascii="仿宋" w:hAnsi="仿宋" w:cs="宋体" w:hint="eastAsia"/>
          <w:color w:val="000000"/>
          <w:kern w:val="0"/>
          <w:sz w:val="24"/>
          <w:u w:val="none"/>
        </w:rPr>
        <w:t>、本采购事宜解释权属于基建处。</w:t>
      </w:r>
    </w:p>
    <w:p w:rsidR="00BB04AD" w:rsidRPr="00BB04AD" w:rsidRDefault="00BB04AD" w:rsidP="00BA564A">
      <w:pPr>
        <w:widowControl/>
        <w:shd w:val="clear" w:color="auto" w:fill="FFFFFF"/>
        <w:spacing w:line="420" w:lineRule="atLeast"/>
        <w:jc w:val="left"/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</w:pPr>
    </w:p>
    <w:p w:rsidR="00275417" w:rsidRPr="00275417" w:rsidRDefault="00275417" w:rsidP="00275417">
      <w:pPr>
        <w:widowControl/>
        <w:shd w:val="clear" w:color="auto" w:fill="FFFFFF"/>
        <w:spacing w:line="420" w:lineRule="atLeast"/>
        <w:ind w:firstLine="48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南京大学</w:t>
      </w:r>
      <w:r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基本</w:t>
      </w: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建设处</w:t>
      </w:r>
    </w:p>
    <w:p w:rsidR="00875218" w:rsidRPr="00E02927" w:rsidRDefault="000E5A65" w:rsidP="00E02927">
      <w:pPr>
        <w:widowControl/>
        <w:shd w:val="clear" w:color="auto" w:fill="FFFFFF"/>
        <w:spacing w:line="420" w:lineRule="atLeast"/>
        <w:ind w:right="120" w:firstLine="420"/>
        <w:jc w:val="right"/>
        <w:rPr>
          <w:rFonts w:ascii="Î¢ï¿½ï¿½ï¿½Åºï¿½ ï¿½ï¿½ï¿½ï¿½" w:eastAsia="Î¢ï¿½ï¿½ï¿½Åºï¿½ ï¿½ï¿½ï¿½ï¿½" w:hAnsi="宋体" w:cs="宋体"/>
          <w:color w:val="000000"/>
          <w:kern w:val="0"/>
          <w:sz w:val="21"/>
          <w:szCs w:val="21"/>
          <w:u w:val="none"/>
        </w:rPr>
      </w:pPr>
      <w:r>
        <w:rPr>
          <w:rFonts w:ascii="黑体" w:eastAsia="黑体" w:hAnsi="黑体" w:cs="宋体"/>
          <w:color w:val="000000"/>
          <w:kern w:val="0"/>
          <w:sz w:val="24"/>
          <w:u w:val="none"/>
          <w:bdr w:val="none" w:sz="0" w:space="0" w:color="auto" w:frame="1"/>
        </w:rPr>
        <w:t>2018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年</w:t>
      </w:r>
      <w:r w:rsidR="00C771C3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11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月</w:t>
      </w:r>
      <w:r w:rsidR="00DB47D3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2</w:t>
      </w:r>
      <w:r w:rsidR="00935D8B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2</w:t>
      </w:r>
      <w:r w:rsidR="00275417" w:rsidRPr="00275417">
        <w:rPr>
          <w:rFonts w:ascii="黑体" w:eastAsia="黑体" w:hAnsi="黑体" w:cs="宋体" w:hint="eastAsia"/>
          <w:color w:val="000000"/>
          <w:kern w:val="0"/>
          <w:sz w:val="24"/>
          <w:u w:val="none"/>
          <w:bdr w:val="none" w:sz="0" w:space="0" w:color="auto" w:frame="1"/>
        </w:rPr>
        <w:t>日</w:t>
      </w:r>
    </w:p>
    <w:sectPr w:rsidR="00875218" w:rsidRPr="00E02927" w:rsidSect="00D869AE">
      <w:pgSz w:w="11906" w:h="16838" w:code="9"/>
      <w:pgMar w:top="567" w:right="1474" w:bottom="567" w:left="1588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AF8" w:rsidRDefault="00CA4AF8" w:rsidP="00275417">
      <w:r>
        <w:separator/>
      </w:r>
    </w:p>
  </w:endnote>
  <w:endnote w:type="continuationSeparator" w:id="0">
    <w:p w:rsidR="00CA4AF8" w:rsidRDefault="00CA4AF8" w:rsidP="00275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ï¿½ï¿½ï¿½Åºï¿½ ï¿½ï¿½ï¿½ï¿½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AF8" w:rsidRDefault="00CA4AF8" w:rsidP="00275417">
      <w:r>
        <w:separator/>
      </w:r>
    </w:p>
  </w:footnote>
  <w:footnote w:type="continuationSeparator" w:id="0">
    <w:p w:rsidR="00CA4AF8" w:rsidRDefault="00CA4AF8" w:rsidP="002754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1431"/>
    <w:multiLevelType w:val="hybridMultilevel"/>
    <w:tmpl w:val="909ADE7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C530D26"/>
    <w:multiLevelType w:val="hybridMultilevel"/>
    <w:tmpl w:val="5038E438"/>
    <w:lvl w:ilvl="0" w:tplc="A5649660">
      <w:start w:val="1"/>
      <w:numFmt w:val="decimalEnclosedCircle"/>
      <w:lvlText w:val="%1"/>
      <w:lvlJc w:val="left"/>
      <w:pPr>
        <w:ind w:left="1380" w:hanging="4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E2018F3"/>
    <w:multiLevelType w:val="hybridMultilevel"/>
    <w:tmpl w:val="9F945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58D68B4"/>
    <w:multiLevelType w:val="hybridMultilevel"/>
    <w:tmpl w:val="02909CD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23621FBC"/>
    <w:multiLevelType w:val="hybridMultilevel"/>
    <w:tmpl w:val="553E7FFE"/>
    <w:lvl w:ilvl="0" w:tplc="90548B78">
      <w:start w:val="1"/>
      <w:numFmt w:val="decimal"/>
      <w:lvlText w:val="%1.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4D256F1"/>
    <w:multiLevelType w:val="hybridMultilevel"/>
    <w:tmpl w:val="C180C3A2"/>
    <w:lvl w:ilvl="0" w:tplc="8018B116">
      <w:start w:val="1"/>
      <w:numFmt w:val="chineseCountingThousand"/>
      <w:lvlText w:val="(%1)"/>
      <w:lvlJc w:val="left"/>
      <w:pPr>
        <w:ind w:left="90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2B5A5F75"/>
    <w:multiLevelType w:val="hybridMultilevel"/>
    <w:tmpl w:val="287EC5DC"/>
    <w:lvl w:ilvl="0" w:tplc="FA60D9C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31832822"/>
    <w:multiLevelType w:val="hybridMultilevel"/>
    <w:tmpl w:val="00E8FEE6"/>
    <w:lvl w:ilvl="0" w:tplc="8F368790">
      <w:start w:val="1"/>
      <w:numFmt w:val="decimal"/>
      <w:lvlText w:val="%1、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31BA7897"/>
    <w:multiLevelType w:val="hybridMultilevel"/>
    <w:tmpl w:val="60B2FE42"/>
    <w:lvl w:ilvl="0" w:tplc="DA2079C4">
      <w:start w:val="1"/>
      <w:numFmt w:val="decimal"/>
      <w:lvlText w:val="%1."/>
      <w:lvlJc w:val="left"/>
      <w:pPr>
        <w:tabs>
          <w:tab w:val="num" w:pos="1475"/>
        </w:tabs>
        <w:ind w:left="1418" w:hanging="425"/>
      </w:pPr>
      <w:rPr>
        <w:rFonts w:hint="eastAsia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1972" w:hanging="420"/>
      </w:pPr>
    </w:lvl>
    <w:lvl w:ilvl="2" w:tplc="0409001B" w:tentative="1">
      <w:start w:val="1"/>
      <w:numFmt w:val="lowerRoman"/>
      <w:lvlText w:val="%3."/>
      <w:lvlJc w:val="righ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9" w:tentative="1">
      <w:start w:val="1"/>
      <w:numFmt w:val="lowerLetter"/>
      <w:lvlText w:val="%5)"/>
      <w:lvlJc w:val="left"/>
      <w:pPr>
        <w:ind w:left="3232" w:hanging="420"/>
      </w:pPr>
    </w:lvl>
    <w:lvl w:ilvl="5" w:tplc="0409001B" w:tentative="1">
      <w:start w:val="1"/>
      <w:numFmt w:val="lowerRoman"/>
      <w:lvlText w:val="%6."/>
      <w:lvlJc w:val="righ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9" w:tentative="1">
      <w:start w:val="1"/>
      <w:numFmt w:val="lowerLetter"/>
      <w:lvlText w:val="%8)"/>
      <w:lvlJc w:val="left"/>
      <w:pPr>
        <w:ind w:left="4492" w:hanging="420"/>
      </w:pPr>
    </w:lvl>
    <w:lvl w:ilvl="8" w:tplc="0409001B" w:tentative="1">
      <w:start w:val="1"/>
      <w:numFmt w:val="lowerRoman"/>
      <w:lvlText w:val="%9."/>
      <w:lvlJc w:val="right"/>
      <w:pPr>
        <w:ind w:left="4912" w:hanging="420"/>
      </w:pPr>
    </w:lvl>
  </w:abstractNum>
  <w:abstractNum w:abstractNumId="9">
    <w:nsid w:val="3F253469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abstractNum w:abstractNumId="10">
    <w:nsid w:val="445665BC"/>
    <w:multiLevelType w:val="hybridMultilevel"/>
    <w:tmpl w:val="C3064EC6"/>
    <w:lvl w:ilvl="0" w:tplc="708A011A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4F8C048D"/>
    <w:multiLevelType w:val="hybridMultilevel"/>
    <w:tmpl w:val="CBEA75DC"/>
    <w:lvl w:ilvl="0" w:tplc="A5649660">
      <w:start w:val="1"/>
      <w:numFmt w:val="decimalEnclosedCircle"/>
      <w:lvlText w:val="%1"/>
      <w:lvlJc w:val="left"/>
      <w:pPr>
        <w:ind w:left="177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2">
    <w:nsid w:val="52747545"/>
    <w:multiLevelType w:val="hybridMultilevel"/>
    <w:tmpl w:val="5D748E8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5C5C7172"/>
    <w:multiLevelType w:val="hybridMultilevel"/>
    <w:tmpl w:val="D86ADB44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4">
    <w:nsid w:val="5EAD548D"/>
    <w:multiLevelType w:val="hybridMultilevel"/>
    <w:tmpl w:val="66126030"/>
    <w:lvl w:ilvl="0" w:tplc="B9D4A7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6830866"/>
    <w:multiLevelType w:val="hybridMultilevel"/>
    <w:tmpl w:val="D4F41842"/>
    <w:lvl w:ilvl="0" w:tplc="EFBCC032">
      <w:start w:val="1"/>
      <w:numFmt w:val="decimal"/>
      <w:lvlText w:val="%1."/>
      <w:lvlJc w:val="left"/>
      <w:pPr>
        <w:ind w:left="902" w:hanging="420"/>
      </w:pPr>
      <w:rPr>
        <w:rFonts w:hint="eastAsia"/>
      </w:rPr>
    </w:lvl>
    <w:lvl w:ilvl="1" w:tplc="EFBCC032">
      <w:start w:val="1"/>
      <w:numFmt w:val="decimal"/>
      <w:lvlText w:val="%2."/>
      <w:lvlJc w:val="left"/>
      <w:pPr>
        <w:ind w:left="1322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6">
    <w:nsid w:val="74FD5A39"/>
    <w:multiLevelType w:val="hybridMultilevel"/>
    <w:tmpl w:val="1ED8BA60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7">
    <w:nsid w:val="7B9677E1"/>
    <w:multiLevelType w:val="multilevel"/>
    <w:tmpl w:val="45DA327C"/>
    <w:lvl w:ilvl="0">
      <w:start w:val="1"/>
      <w:numFmt w:val="decimal"/>
      <w:lvlText w:val="%1."/>
      <w:lvlJc w:val="left"/>
      <w:pPr>
        <w:tabs>
          <w:tab w:val="num" w:pos="1134"/>
        </w:tabs>
        <w:ind w:left="1134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  <w:rPr>
        <w:rFonts w:hint="eastAsia"/>
      </w:rPr>
    </w:lvl>
  </w:abstractNum>
  <w:num w:numId="1">
    <w:abstractNumId w:val="17"/>
  </w:num>
  <w:num w:numId="2">
    <w:abstractNumId w:val="0"/>
  </w:num>
  <w:num w:numId="3">
    <w:abstractNumId w:val="16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4"/>
  </w:num>
  <w:num w:numId="12">
    <w:abstractNumId w:val="11"/>
  </w:num>
  <w:num w:numId="13">
    <w:abstractNumId w:val="1"/>
  </w:num>
  <w:num w:numId="14">
    <w:abstractNumId w:val="14"/>
  </w:num>
  <w:num w:numId="15">
    <w:abstractNumId w:val="13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238"/>
    <w:rsid w:val="00003008"/>
    <w:rsid w:val="000355A1"/>
    <w:rsid w:val="0004056D"/>
    <w:rsid w:val="0004344F"/>
    <w:rsid w:val="00046FDC"/>
    <w:rsid w:val="00074B2B"/>
    <w:rsid w:val="0009359E"/>
    <w:rsid w:val="000C0A28"/>
    <w:rsid w:val="000E5A65"/>
    <w:rsid w:val="000E6CDC"/>
    <w:rsid w:val="00132C53"/>
    <w:rsid w:val="00152AE4"/>
    <w:rsid w:val="00156519"/>
    <w:rsid w:val="00192890"/>
    <w:rsid w:val="00194D9F"/>
    <w:rsid w:val="001972E4"/>
    <w:rsid w:val="001D627B"/>
    <w:rsid w:val="001E47DE"/>
    <w:rsid w:val="00203799"/>
    <w:rsid w:val="00234B20"/>
    <w:rsid w:val="00242353"/>
    <w:rsid w:val="002572D2"/>
    <w:rsid w:val="00275417"/>
    <w:rsid w:val="00290276"/>
    <w:rsid w:val="002A70CC"/>
    <w:rsid w:val="002C4188"/>
    <w:rsid w:val="002D0680"/>
    <w:rsid w:val="0031312E"/>
    <w:rsid w:val="003269A8"/>
    <w:rsid w:val="00357128"/>
    <w:rsid w:val="00363653"/>
    <w:rsid w:val="00376458"/>
    <w:rsid w:val="003E2BF2"/>
    <w:rsid w:val="003F0DE7"/>
    <w:rsid w:val="0043548A"/>
    <w:rsid w:val="00454BC5"/>
    <w:rsid w:val="00471312"/>
    <w:rsid w:val="00493030"/>
    <w:rsid w:val="004A2AA8"/>
    <w:rsid w:val="004A51B2"/>
    <w:rsid w:val="004C1CE1"/>
    <w:rsid w:val="004E0B0C"/>
    <w:rsid w:val="005475AE"/>
    <w:rsid w:val="00554EAD"/>
    <w:rsid w:val="00556618"/>
    <w:rsid w:val="005731D2"/>
    <w:rsid w:val="005761DE"/>
    <w:rsid w:val="0058770F"/>
    <w:rsid w:val="00597215"/>
    <w:rsid w:val="005A5DE3"/>
    <w:rsid w:val="005B4CD5"/>
    <w:rsid w:val="005E22AE"/>
    <w:rsid w:val="005E39EE"/>
    <w:rsid w:val="005E4594"/>
    <w:rsid w:val="005F3F15"/>
    <w:rsid w:val="00610FAD"/>
    <w:rsid w:val="00632A6C"/>
    <w:rsid w:val="00636937"/>
    <w:rsid w:val="00647E81"/>
    <w:rsid w:val="00647F30"/>
    <w:rsid w:val="006521E1"/>
    <w:rsid w:val="006764FF"/>
    <w:rsid w:val="006A38CF"/>
    <w:rsid w:val="006E21BD"/>
    <w:rsid w:val="006E2B86"/>
    <w:rsid w:val="006E318D"/>
    <w:rsid w:val="007016AD"/>
    <w:rsid w:val="00703E91"/>
    <w:rsid w:val="00706B4E"/>
    <w:rsid w:val="00711D4A"/>
    <w:rsid w:val="00712840"/>
    <w:rsid w:val="0071590C"/>
    <w:rsid w:val="00742A37"/>
    <w:rsid w:val="00753672"/>
    <w:rsid w:val="007625AF"/>
    <w:rsid w:val="00782B9E"/>
    <w:rsid w:val="007A3F64"/>
    <w:rsid w:val="007B262D"/>
    <w:rsid w:val="007E0183"/>
    <w:rsid w:val="007E297A"/>
    <w:rsid w:val="007F6064"/>
    <w:rsid w:val="00804AFD"/>
    <w:rsid w:val="00816D54"/>
    <w:rsid w:val="0081701E"/>
    <w:rsid w:val="008337DB"/>
    <w:rsid w:val="008453CE"/>
    <w:rsid w:val="00846564"/>
    <w:rsid w:val="00873D8F"/>
    <w:rsid w:val="00875218"/>
    <w:rsid w:val="008A2189"/>
    <w:rsid w:val="008B63C2"/>
    <w:rsid w:val="008D75C1"/>
    <w:rsid w:val="008E4ABF"/>
    <w:rsid w:val="008E5339"/>
    <w:rsid w:val="008E7203"/>
    <w:rsid w:val="008F09A2"/>
    <w:rsid w:val="008F2816"/>
    <w:rsid w:val="00905FE6"/>
    <w:rsid w:val="009202CB"/>
    <w:rsid w:val="00935D8B"/>
    <w:rsid w:val="00941684"/>
    <w:rsid w:val="00944156"/>
    <w:rsid w:val="00945029"/>
    <w:rsid w:val="00952DC4"/>
    <w:rsid w:val="00971409"/>
    <w:rsid w:val="00993061"/>
    <w:rsid w:val="009C78ED"/>
    <w:rsid w:val="009E12AD"/>
    <w:rsid w:val="009F3812"/>
    <w:rsid w:val="00A20311"/>
    <w:rsid w:val="00A30B4A"/>
    <w:rsid w:val="00A41238"/>
    <w:rsid w:val="00A53139"/>
    <w:rsid w:val="00A70834"/>
    <w:rsid w:val="00AC0DEF"/>
    <w:rsid w:val="00AD0B58"/>
    <w:rsid w:val="00B267EE"/>
    <w:rsid w:val="00B53D3F"/>
    <w:rsid w:val="00B76914"/>
    <w:rsid w:val="00BA564A"/>
    <w:rsid w:val="00BB04AD"/>
    <w:rsid w:val="00BB461F"/>
    <w:rsid w:val="00BD44D4"/>
    <w:rsid w:val="00BE637C"/>
    <w:rsid w:val="00C159D3"/>
    <w:rsid w:val="00C22D3E"/>
    <w:rsid w:val="00C771C3"/>
    <w:rsid w:val="00C77897"/>
    <w:rsid w:val="00C816F0"/>
    <w:rsid w:val="00CA4AF8"/>
    <w:rsid w:val="00CA709F"/>
    <w:rsid w:val="00CE6EA9"/>
    <w:rsid w:val="00D1307B"/>
    <w:rsid w:val="00D34FB6"/>
    <w:rsid w:val="00D517F9"/>
    <w:rsid w:val="00D869AE"/>
    <w:rsid w:val="00DB47D3"/>
    <w:rsid w:val="00DC4234"/>
    <w:rsid w:val="00DC7A95"/>
    <w:rsid w:val="00E02097"/>
    <w:rsid w:val="00E02927"/>
    <w:rsid w:val="00E0420D"/>
    <w:rsid w:val="00E062AB"/>
    <w:rsid w:val="00E14CC2"/>
    <w:rsid w:val="00E2504E"/>
    <w:rsid w:val="00E325D9"/>
    <w:rsid w:val="00EA79B3"/>
    <w:rsid w:val="00EB1A12"/>
    <w:rsid w:val="00EB6431"/>
    <w:rsid w:val="00EC2955"/>
    <w:rsid w:val="00ED55FF"/>
    <w:rsid w:val="00EE0537"/>
    <w:rsid w:val="00EE145A"/>
    <w:rsid w:val="00F1457D"/>
    <w:rsid w:val="00F2749C"/>
    <w:rsid w:val="00F40D8E"/>
    <w:rsid w:val="00F64EC5"/>
    <w:rsid w:val="00F65712"/>
    <w:rsid w:val="00F7458D"/>
    <w:rsid w:val="00F97399"/>
    <w:rsid w:val="00FB2AFF"/>
    <w:rsid w:val="00FB46C2"/>
    <w:rsid w:val="00FE1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仿宋" w:hAnsiTheme="minorHAnsi" w:cstheme="minorBidi"/>
        <w:kern w:val="2"/>
        <w:sz w:val="28"/>
        <w:szCs w:val="24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3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75417"/>
    <w:pPr>
      <w:widowControl/>
      <w:jc w:val="left"/>
      <w:outlineLvl w:val="0"/>
    </w:pPr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5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54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5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541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75417"/>
    <w:rPr>
      <w:rFonts w:ascii="宋体" w:eastAsia="宋体" w:hAnsi="宋体" w:cs="宋体"/>
      <w:b/>
      <w:bCs/>
      <w:kern w:val="36"/>
      <w:sz w:val="42"/>
      <w:szCs w:val="42"/>
      <w:u w:val="none"/>
    </w:rPr>
  </w:style>
  <w:style w:type="character" w:styleId="a5">
    <w:name w:val="Hyperlink"/>
    <w:basedOn w:val="a0"/>
    <w:uiPriority w:val="99"/>
    <w:unhideWhenUsed/>
    <w:rsid w:val="00275417"/>
    <w:rPr>
      <w:strike w:val="0"/>
      <w:dstrike w:val="0"/>
      <w:color w:val="000000"/>
      <w:sz w:val="21"/>
      <w:szCs w:val="21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275417"/>
    <w:pPr>
      <w:widowControl/>
      <w:spacing w:line="390" w:lineRule="atLeast"/>
      <w:jc w:val="left"/>
    </w:pPr>
    <w:rPr>
      <w:rFonts w:ascii="宋体" w:eastAsia="宋体" w:hAnsi="宋体" w:cs="宋体"/>
      <w:kern w:val="0"/>
      <w:sz w:val="21"/>
      <w:szCs w:val="21"/>
      <w:u w:val="none"/>
    </w:rPr>
  </w:style>
  <w:style w:type="character" w:customStyle="1" w:styleId="wpvisitcount1">
    <w:name w:val="wp_visitcount1"/>
    <w:basedOn w:val="a0"/>
    <w:rsid w:val="00275417"/>
    <w:rPr>
      <w:vanish/>
      <w:webHidden w:val="0"/>
      <w:bdr w:val="none" w:sz="0" w:space="0" w:color="auto" w:frame="1"/>
      <w:specVanish w:val="0"/>
    </w:rPr>
  </w:style>
  <w:style w:type="character" w:styleId="a7">
    <w:name w:val="Strong"/>
    <w:basedOn w:val="a0"/>
    <w:uiPriority w:val="22"/>
    <w:qFormat/>
    <w:rsid w:val="00275417"/>
    <w:rPr>
      <w:b/>
      <w:bCs/>
    </w:rPr>
  </w:style>
  <w:style w:type="character" w:styleId="a8">
    <w:name w:val="Emphasis"/>
    <w:basedOn w:val="a0"/>
    <w:uiPriority w:val="20"/>
    <w:qFormat/>
    <w:rsid w:val="00C816F0"/>
    <w:rPr>
      <w:i/>
      <w:iCs/>
    </w:rPr>
  </w:style>
  <w:style w:type="paragraph" w:styleId="a9">
    <w:name w:val="List Paragraph"/>
    <w:basedOn w:val="a"/>
    <w:uiPriority w:val="34"/>
    <w:qFormat/>
    <w:rsid w:val="00BA564A"/>
    <w:pPr>
      <w:ind w:firstLineChars="200" w:firstLine="420"/>
    </w:pPr>
  </w:style>
  <w:style w:type="character" w:styleId="aa">
    <w:name w:val="annotation reference"/>
    <w:basedOn w:val="a0"/>
    <w:uiPriority w:val="99"/>
    <w:semiHidden/>
    <w:unhideWhenUsed/>
    <w:rsid w:val="00597215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597215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597215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597215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597215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597215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597215"/>
    <w:rPr>
      <w:sz w:val="18"/>
      <w:szCs w:val="18"/>
    </w:rPr>
  </w:style>
  <w:style w:type="table" w:styleId="ae">
    <w:name w:val="Table Grid"/>
    <w:basedOn w:val="a1"/>
    <w:uiPriority w:val="39"/>
    <w:rsid w:val="004A5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319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3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A4CF-8DEE-4C6B-A229-01196B609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205</Words>
  <Characters>1169</Characters>
  <Application>Microsoft Office Word</Application>
  <DocSecurity>0</DocSecurity>
  <Lines>9</Lines>
  <Paragraphs>2</Paragraphs>
  <ScaleCrop>false</ScaleCrop>
  <Company>http:/sdwm.org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深度完美技术论坛</cp:lastModifiedBy>
  <cp:revision>14</cp:revision>
  <cp:lastPrinted>2018-07-03T03:29:00Z</cp:lastPrinted>
  <dcterms:created xsi:type="dcterms:W3CDTF">2018-11-14T03:26:00Z</dcterms:created>
  <dcterms:modified xsi:type="dcterms:W3CDTF">2018-11-22T08:39:00Z</dcterms:modified>
</cp:coreProperties>
</file>