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rPr>
          <w:sz w:val="28"/>
          <w:szCs w:val="28"/>
        </w:rPr>
      </w:pPr>
      <w:r>
        <w:rPr>
          <w:rFonts w:hint="eastAsia"/>
          <w:sz w:val="28"/>
          <w:szCs w:val="28"/>
        </w:rPr>
        <w:t>一、工程概况</w:t>
      </w:r>
    </w:p>
    <w:p>
      <w:pPr>
        <w:spacing w:line="360" w:lineRule="auto"/>
        <w:ind w:firstLine="440" w:firstLineChars="200"/>
        <w:rPr>
          <w:color w:val="FF0000"/>
          <w:sz w:val="22"/>
        </w:rPr>
      </w:pPr>
      <w:r>
        <w:rPr>
          <w:rFonts w:hint="eastAsia"/>
          <w:color w:val="FF0000"/>
          <w:sz w:val="22"/>
        </w:rPr>
        <w:t>工程名称：南京大学仙林校区太学北路消防喷淋管网改造工程</w:t>
      </w:r>
    </w:p>
    <w:p>
      <w:pPr>
        <w:spacing w:line="360" w:lineRule="auto"/>
        <w:rPr>
          <w:sz w:val="28"/>
          <w:szCs w:val="28"/>
        </w:rPr>
      </w:pPr>
      <w:r>
        <w:rPr>
          <w:rFonts w:hint="eastAsia"/>
          <w:sz w:val="28"/>
          <w:szCs w:val="28"/>
        </w:rPr>
        <w:t>二、工程招标和分包范围</w:t>
      </w:r>
    </w:p>
    <w:p>
      <w:pPr>
        <w:spacing w:line="360" w:lineRule="auto"/>
        <w:ind w:firstLine="440" w:firstLineChars="200"/>
        <w:rPr>
          <w:sz w:val="22"/>
        </w:rPr>
      </w:pPr>
      <w:r>
        <w:rPr>
          <w:rFonts w:hint="eastAsia"/>
          <w:sz w:val="22"/>
        </w:rPr>
        <w:t>具体详见设计施工图、设计补充文件、工程量清单及招标文件等相关内容。</w:t>
      </w:r>
    </w:p>
    <w:p>
      <w:pPr>
        <w:spacing w:line="360" w:lineRule="auto"/>
        <w:rPr>
          <w:sz w:val="28"/>
          <w:szCs w:val="28"/>
        </w:rPr>
      </w:pPr>
      <w:r>
        <w:rPr>
          <w:rFonts w:hint="eastAsia"/>
          <w:sz w:val="28"/>
          <w:szCs w:val="28"/>
        </w:rPr>
        <w:t>三、编制依据</w:t>
      </w:r>
    </w:p>
    <w:p>
      <w:pPr>
        <w:spacing w:line="360" w:lineRule="auto"/>
        <w:ind w:firstLine="440" w:firstLineChars="200"/>
        <w:rPr>
          <w:color w:val="FF0000"/>
          <w:sz w:val="22"/>
        </w:rPr>
      </w:pPr>
      <w:r>
        <w:rPr>
          <w:rFonts w:hint="eastAsia"/>
          <w:sz w:val="22"/>
        </w:rPr>
        <w:t>1、</w:t>
      </w:r>
      <w:r>
        <w:rPr>
          <w:rFonts w:hint="eastAsia"/>
          <w:color w:val="FF0000"/>
          <w:sz w:val="22"/>
        </w:rPr>
        <w:t>南京大学建筑规划设计研究院有限公司</w:t>
      </w:r>
      <w:r>
        <w:rPr>
          <w:rFonts w:hint="eastAsia"/>
          <w:sz w:val="22"/>
        </w:rPr>
        <w:t>设计院设计的</w:t>
      </w:r>
      <w:r>
        <w:rPr>
          <w:rFonts w:hint="eastAsia"/>
          <w:color w:val="FF0000"/>
          <w:sz w:val="22"/>
        </w:rPr>
        <w:t>2020年11月12日</w:t>
      </w:r>
      <w:r>
        <w:rPr>
          <w:rFonts w:hint="eastAsia"/>
          <w:sz w:val="22"/>
        </w:rPr>
        <w:t>施工图及其说明、设计修改、变更通知等技术资料。</w:t>
      </w:r>
    </w:p>
    <w:p>
      <w:pPr>
        <w:spacing w:line="360" w:lineRule="auto"/>
        <w:ind w:firstLine="440" w:firstLineChars="200"/>
        <w:rPr>
          <w:color w:val="FF0000"/>
          <w:sz w:val="22"/>
        </w:rPr>
      </w:pPr>
      <w:r>
        <w:rPr>
          <w:rFonts w:hint="eastAsia"/>
          <w:sz w:val="22"/>
        </w:rPr>
        <w:t>2、计量规范：</w:t>
      </w:r>
    </w:p>
    <w:p>
      <w:pPr>
        <w:spacing w:line="360" w:lineRule="auto"/>
        <w:ind w:left="400"/>
        <w:rPr>
          <w:sz w:val="22"/>
        </w:rPr>
      </w:pPr>
      <w:r>
        <w:rPr>
          <w:rFonts w:hint="eastAsia"/>
          <w:sz w:val="22"/>
        </w:rPr>
        <w:t>①《建设工程工程量清单计价规范》（GB50500-2013）</w:t>
      </w:r>
    </w:p>
    <w:p>
      <w:pPr>
        <w:spacing w:line="360" w:lineRule="auto"/>
        <w:ind w:left="400"/>
        <w:rPr>
          <w:sz w:val="22"/>
        </w:rPr>
      </w:pPr>
      <w:r>
        <w:rPr>
          <w:rFonts w:hint="eastAsia"/>
          <w:sz w:val="22"/>
        </w:rPr>
        <w:t>②《房屋建筑与装饰工程工程量计算规范》（GB50854-2013）</w:t>
      </w:r>
    </w:p>
    <w:p>
      <w:pPr>
        <w:spacing w:line="360" w:lineRule="auto"/>
        <w:ind w:left="400"/>
        <w:rPr>
          <w:sz w:val="22"/>
        </w:rPr>
      </w:pPr>
      <w:r>
        <w:rPr>
          <w:rFonts w:hint="eastAsia"/>
          <w:sz w:val="22"/>
        </w:rPr>
        <w:t>③《通用安装工程工程量计算规范》（GB50856-2013）</w:t>
      </w:r>
    </w:p>
    <w:p>
      <w:pPr>
        <w:spacing w:line="360" w:lineRule="auto"/>
        <w:ind w:left="400"/>
        <w:rPr>
          <w:sz w:val="22"/>
        </w:rPr>
      </w:pPr>
      <w:r>
        <w:rPr>
          <w:rFonts w:hint="eastAsia"/>
          <w:sz w:val="22"/>
        </w:rPr>
        <w:t>④《江苏省建筑与装饰工程计价定额》（2014年）</w:t>
      </w:r>
    </w:p>
    <w:p>
      <w:pPr>
        <w:spacing w:line="360" w:lineRule="auto"/>
        <w:ind w:left="400"/>
        <w:rPr>
          <w:sz w:val="22"/>
        </w:rPr>
      </w:pPr>
      <w:r>
        <w:rPr>
          <w:rFonts w:hint="eastAsia"/>
          <w:sz w:val="22"/>
        </w:rPr>
        <w:t>⑤《江苏省安装工程计价定额》（2014年）</w:t>
      </w:r>
    </w:p>
    <w:p>
      <w:pPr>
        <w:spacing w:line="360" w:lineRule="auto"/>
        <w:ind w:left="400"/>
        <w:rPr>
          <w:sz w:val="22"/>
        </w:rPr>
      </w:pPr>
      <w:r>
        <w:rPr>
          <w:rFonts w:hint="eastAsia"/>
          <w:sz w:val="22"/>
        </w:rPr>
        <w:t>⑥《江苏修缮建筑工程》（2009年）</w:t>
      </w:r>
    </w:p>
    <w:p>
      <w:pPr>
        <w:spacing w:line="360" w:lineRule="auto"/>
        <w:ind w:left="400"/>
        <w:rPr>
          <w:sz w:val="22"/>
        </w:rPr>
      </w:pPr>
      <w:r>
        <w:rPr>
          <w:rFonts w:hint="eastAsia"/>
          <w:sz w:val="22"/>
        </w:rPr>
        <w:t>⑦苏建价（2014）448号文省住房城乡建设厅关于《建设工程工程量清单计价规范》（GB50500-2013）及其9本工程量计算规范的贯彻意见</w:t>
      </w:r>
    </w:p>
    <w:p>
      <w:pPr>
        <w:spacing w:line="360" w:lineRule="auto"/>
        <w:ind w:left="400"/>
        <w:rPr>
          <w:sz w:val="22"/>
        </w:rPr>
      </w:pPr>
      <w:r>
        <w:rPr>
          <w:rFonts w:hint="eastAsia"/>
          <w:sz w:val="22"/>
        </w:rPr>
        <w:t>⑧现行相关补充或调整文件</w:t>
      </w:r>
    </w:p>
    <w:p>
      <w:pPr>
        <w:spacing w:line="360" w:lineRule="auto"/>
        <w:ind w:firstLine="440" w:firstLineChars="200"/>
        <w:rPr>
          <w:sz w:val="22"/>
        </w:rPr>
      </w:pPr>
      <w:r>
        <w:rPr>
          <w:rFonts w:hint="eastAsia"/>
          <w:sz w:val="22"/>
        </w:rPr>
        <w:t>3、与本工程项目有关的标准、施工规范与验收规范。</w:t>
      </w:r>
    </w:p>
    <w:p>
      <w:pPr>
        <w:spacing w:line="360" w:lineRule="auto"/>
        <w:rPr>
          <w:sz w:val="28"/>
          <w:szCs w:val="28"/>
        </w:rPr>
      </w:pPr>
      <w:r>
        <w:rPr>
          <w:rFonts w:hint="eastAsia"/>
          <w:sz w:val="28"/>
          <w:szCs w:val="28"/>
        </w:rPr>
        <w:t>四、取费标准</w:t>
      </w:r>
    </w:p>
    <w:p>
      <w:pPr>
        <w:spacing w:line="360" w:lineRule="auto"/>
        <w:ind w:firstLine="440" w:firstLineChars="200"/>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1、《江苏省建设工程费用定额》（2014）。</w:t>
      </w:r>
    </w:p>
    <w:p>
      <w:pPr>
        <w:spacing w:line="360" w:lineRule="auto"/>
        <w:ind w:firstLine="440" w:firstLineChars="200"/>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2、《省住房城乡建设厅关于建筑业实施营改增后江苏省建设工程计价依据调整的通知》 苏建价（2016）154号文及相关附件。</w:t>
      </w:r>
    </w:p>
    <w:p>
      <w:pPr>
        <w:spacing w:line="360" w:lineRule="auto"/>
        <w:ind w:firstLine="440" w:firstLineChars="200"/>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3、《省住房城乡建设厅关于建筑业增值税计价政策调整的通知》苏建函价（2019）178号文。</w:t>
      </w:r>
    </w:p>
    <w:p>
      <w:pPr>
        <w:spacing w:line="360" w:lineRule="auto"/>
        <w:ind w:firstLine="440" w:firstLineChars="200"/>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4、安全文明施工措施费计取基本费和扬尘污染防治增加费。</w:t>
      </w:r>
    </w:p>
    <w:p>
      <w:pPr>
        <w:spacing w:line="360" w:lineRule="auto"/>
        <w:ind w:firstLine="440" w:firstLineChars="200"/>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5、政策性文件及报价参考执行投标截止日前省市建委造价有关文件，投标截止日后的省市建委造价文件不予执行。</w:t>
      </w:r>
    </w:p>
    <w:p>
      <w:pPr>
        <w:spacing w:line="360" w:lineRule="auto"/>
        <w:ind w:firstLine="440" w:firstLineChars="200"/>
      </w:pPr>
      <w:r>
        <w:rPr>
          <w:rFonts w:hint="eastAsia"/>
          <w:color w:val="000000" w:themeColor="text1"/>
          <w:sz w:val="22"/>
          <w14:textFill>
            <w14:solidFill>
              <w14:schemeClr w14:val="tx1"/>
            </w14:solidFill>
          </w14:textFill>
        </w:rPr>
        <w:t>6、人工工资参考江苏省建设工程人工工资指导价自主报价，其它费用按照省市建委发布的有关文件及政策规定等执行，报价参考执行投标截止日前省建设厅、市建委造价有关文件。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7、暂列金额及暂估价：</w:t>
      </w:r>
    </w:p>
    <w:p>
      <w:pPr>
        <w:spacing w:line="360" w:lineRule="auto"/>
        <w:ind w:firstLine="440" w:firstLineChars="200"/>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（1）暂列金额：</w:t>
      </w:r>
      <w:r>
        <w:rPr>
          <w:rFonts w:hint="eastAsia"/>
          <w:color w:val="000000" w:themeColor="text1"/>
          <w:sz w:val="22"/>
          <w:lang w:val="en-US" w:eastAsia="zh-CN"/>
          <w14:textFill>
            <w14:solidFill>
              <w14:schemeClr w14:val="tx1"/>
            </w14:solidFill>
          </w14:textFill>
        </w:rPr>
        <w:t>4132.54元</w:t>
      </w:r>
      <w:bookmarkStart w:id="0" w:name="_GoBack"/>
      <w:bookmarkEnd w:id="0"/>
      <w:r>
        <w:rPr>
          <w:rFonts w:hint="eastAsia"/>
          <w:color w:val="000000" w:themeColor="text1"/>
          <w:sz w:val="22"/>
          <w14:textFill>
            <w14:solidFill>
              <w14:schemeClr w14:val="tx1"/>
            </w14:solidFill>
          </w14:textFill>
        </w:rPr>
        <w:t>。</w:t>
      </w:r>
    </w:p>
    <w:p>
      <w:pPr>
        <w:spacing w:line="360" w:lineRule="auto"/>
        <w:ind w:firstLine="440" w:firstLineChars="200"/>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（2）暂估价：无。</w:t>
      </w:r>
    </w:p>
    <w:p>
      <w:pPr>
        <w:spacing w:line="360" w:lineRule="auto"/>
        <w:rPr>
          <w:sz w:val="28"/>
          <w:szCs w:val="28"/>
        </w:rPr>
      </w:pPr>
      <w:r>
        <w:rPr>
          <w:rFonts w:hint="eastAsia"/>
          <w:sz w:val="28"/>
          <w:szCs w:val="28"/>
        </w:rPr>
        <w:t>五、图纸及工程量计算中的相关说明</w:t>
      </w:r>
    </w:p>
    <w:p>
      <w:pPr>
        <w:spacing w:line="360" w:lineRule="auto"/>
        <w:ind w:firstLine="440" w:firstLineChars="200"/>
        <w:rPr>
          <w:color w:val="00B0F0"/>
          <w:sz w:val="22"/>
        </w:rPr>
      </w:pPr>
      <w:r>
        <w:rPr>
          <w:rFonts w:hint="eastAsia"/>
          <w:color w:val="00B0F0"/>
          <w:sz w:val="22"/>
        </w:rPr>
        <w:t>1、通用部分</w:t>
      </w:r>
    </w:p>
    <w:p>
      <w:pPr>
        <w:spacing w:line="360" w:lineRule="auto"/>
        <w:ind w:firstLine="220" w:firstLineChars="100"/>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（1）投标人在投标报价时结合现场实际情况考虑夜间施工及围挡防护安全，结算时不再调整；</w:t>
      </w:r>
    </w:p>
    <w:p>
      <w:pPr>
        <w:spacing w:line="360" w:lineRule="auto"/>
        <w:ind w:firstLine="220" w:firstLineChars="100"/>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（2）本工程所需报验、报检费用甲方不予承担，投标人自行考虑计入投标报价；</w:t>
      </w:r>
    </w:p>
    <w:p>
      <w:pPr>
        <w:spacing w:line="360" w:lineRule="auto"/>
        <w:ind w:firstLine="220" w:firstLineChars="100"/>
        <w:rPr>
          <w:color w:val="000000" w:themeColor="text1"/>
          <w:sz w:val="22"/>
          <w:lang w:val="zh-CN"/>
          <w14:textFill>
            <w14:solidFill>
              <w14:schemeClr w14:val="tx1"/>
            </w14:solidFill>
          </w14:textFill>
        </w:rPr>
      </w:pPr>
      <w:r>
        <w:rPr>
          <w:rFonts w:hint="eastAsia"/>
          <w:color w:val="000000" w:themeColor="text1"/>
          <w:sz w:val="22"/>
          <w14:textFill>
            <w14:solidFill>
              <w14:schemeClr w14:val="tx1"/>
            </w14:solidFill>
          </w14:textFill>
        </w:rPr>
        <w:t>（3）</w:t>
      </w:r>
      <w:r>
        <w:rPr>
          <w:rFonts w:hint="eastAsia"/>
          <w:color w:val="000000" w:themeColor="text1"/>
          <w:sz w:val="22"/>
          <w:lang w:val="zh-CN"/>
          <w14:textFill>
            <w14:solidFill>
              <w14:schemeClr w14:val="tx1"/>
            </w14:solidFill>
          </w14:textFill>
        </w:rPr>
        <w:t>措施费项目投标单位可自行增添内容，自行报价，未计放部分按优惠考虑，结算时不再调整，投标人在报价中应充分考虑所涉及的各项措施费及风险因素后再进行报价，</w:t>
      </w:r>
      <w:r>
        <w:rPr>
          <w:rFonts w:hint="eastAsia"/>
          <w:color w:val="000000" w:themeColor="text1"/>
          <w:sz w:val="22"/>
          <w14:textFill>
            <w14:solidFill>
              <w14:schemeClr w14:val="tx1"/>
            </w14:solidFill>
          </w14:textFill>
        </w:rPr>
        <w:t>不可竞争费按规定报价</w:t>
      </w:r>
      <w:r>
        <w:rPr>
          <w:rFonts w:hint="eastAsia"/>
          <w:color w:val="000000" w:themeColor="text1"/>
          <w:sz w:val="22"/>
          <w:lang w:val="zh-CN"/>
          <w14:textFill>
            <w14:solidFill>
              <w14:schemeClr w14:val="tx1"/>
            </w14:solidFill>
          </w14:textFill>
        </w:rPr>
        <w:t>；</w:t>
      </w:r>
    </w:p>
    <w:p>
      <w:pPr>
        <w:spacing w:line="360" w:lineRule="auto"/>
        <w:ind w:firstLine="220" w:firstLineChars="100"/>
        <w:rPr>
          <w:color w:val="000000" w:themeColor="text1"/>
          <w:sz w:val="22"/>
          <w:lang w:val="zh-CN"/>
          <w14:textFill>
            <w14:solidFill>
              <w14:schemeClr w14:val="tx1"/>
            </w14:solidFill>
          </w14:textFill>
        </w:rPr>
      </w:pPr>
      <w:r>
        <w:rPr>
          <w:rFonts w:hint="eastAsia"/>
          <w:color w:val="000000" w:themeColor="text1"/>
          <w:sz w:val="22"/>
          <w14:textFill>
            <w14:solidFill>
              <w14:schemeClr w14:val="tx1"/>
            </w14:solidFill>
          </w14:textFill>
        </w:rPr>
        <w:t>（4）</w:t>
      </w:r>
      <w:r>
        <w:rPr>
          <w:rFonts w:hint="eastAsia"/>
          <w:color w:val="000000" w:themeColor="text1"/>
          <w:sz w:val="22"/>
          <w:lang w:val="zh-CN"/>
          <w14:textFill>
            <w14:solidFill>
              <w14:schemeClr w14:val="tx1"/>
            </w14:solidFill>
          </w14:textFill>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220" w:firstLineChars="100"/>
        <w:rPr>
          <w:color w:val="000000" w:themeColor="text1"/>
          <w:sz w:val="22"/>
          <w:lang w:val="zh-CN"/>
          <w14:textFill>
            <w14:solidFill>
              <w14:schemeClr w14:val="tx1"/>
            </w14:solidFill>
          </w14:textFill>
        </w:rPr>
      </w:pPr>
      <w:r>
        <w:rPr>
          <w:rFonts w:hint="eastAsia"/>
          <w:color w:val="000000" w:themeColor="text1"/>
          <w:sz w:val="22"/>
          <w14:textFill>
            <w14:solidFill>
              <w14:schemeClr w14:val="tx1"/>
            </w14:solidFill>
          </w14:textFill>
        </w:rPr>
        <w:t>（5）</w:t>
      </w:r>
      <w:r>
        <w:rPr>
          <w:rFonts w:hint="eastAsia"/>
          <w:color w:val="000000" w:themeColor="text1"/>
          <w:sz w:val="22"/>
          <w:lang w:val="zh-CN"/>
          <w14:textFill>
            <w14:solidFill>
              <w14:schemeClr w14:val="tx1"/>
            </w14:solidFill>
          </w14:textFill>
        </w:rPr>
        <w:t>清单中项目特征描述不详处，以图纸为准，投标报价时应考虑图纸所示施工要求等一切费用；</w:t>
      </w:r>
    </w:p>
    <w:p>
      <w:pPr>
        <w:spacing w:line="360" w:lineRule="auto"/>
        <w:ind w:firstLine="220" w:firstLineChars="100"/>
        <w:rPr>
          <w:color w:val="00B0F0"/>
          <w:sz w:val="22"/>
        </w:rPr>
      </w:pPr>
      <w:r>
        <w:rPr>
          <w:rFonts w:hint="eastAsia"/>
          <w:color w:val="000000" w:themeColor="text1"/>
          <w:sz w:val="22"/>
          <w14:textFill>
            <w14:solidFill>
              <w14:schemeClr w14:val="tx1"/>
            </w14:solidFill>
          </w14:textFill>
        </w:rPr>
        <w:t>（6）</w:t>
      </w:r>
      <w:r>
        <w:rPr>
          <w:rFonts w:hint="eastAsia"/>
          <w:color w:val="000000" w:themeColor="text1"/>
          <w:sz w:val="22"/>
          <w:lang w:val="zh-CN"/>
          <w14:textFill>
            <w14:solidFill>
              <w14:schemeClr w14:val="tx1"/>
            </w14:solidFill>
          </w14:textFill>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spacing w:line="360" w:lineRule="auto"/>
        <w:ind w:firstLine="440" w:firstLineChars="200"/>
        <w:rPr>
          <w:color w:val="00B0F0"/>
          <w:sz w:val="22"/>
        </w:rPr>
      </w:pPr>
      <w:r>
        <w:rPr>
          <w:rFonts w:hint="eastAsia"/>
          <w:color w:val="00B0F0"/>
          <w:sz w:val="22"/>
        </w:rPr>
        <w:t>2、安装部分</w:t>
      </w:r>
    </w:p>
    <w:p>
      <w:pPr>
        <w:spacing w:line="360" w:lineRule="auto"/>
        <w:ind w:firstLine="220" w:firstLineChars="100"/>
        <w:rPr>
          <w:rFonts w:hint="eastAsia"/>
          <w:color w:val="000000" w:themeColor="text1"/>
          <w:sz w:val="22"/>
          <w:lang w:val="zh-CN"/>
          <w14:textFill>
            <w14:solidFill>
              <w14:schemeClr w14:val="tx1"/>
            </w14:solidFill>
          </w14:textFill>
        </w:rPr>
      </w:pPr>
      <w:r>
        <w:rPr>
          <w:rFonts w:hint="eastAsia"/>
          <w:color w:val="000000" w:themeColor="text1"/>
          <w:sz w:val="22"/>
          <w:lang w:val="zh-CN"/>
          <w14:textFill>
            <w14:solidFill>
              <w14:schemeClr w14:val="tx1"/>
            </w14:solidFill>
          </w14:textFill>
        </w:rPr>
        <w:t>（</w:t>
      </w:r>
      <w:r>
        <w:rPr>
          <w:rFonts w:hint="eastAsia"/>
          <w:color w:val="000000" w:themeColor="text1"/>
          <w:sz w:val="22"/>
          <w14:textFill>
            <w14:solidFill>
              <w14:schemeClr w14:val="tx1"/>
            </w14:solidFill>
          </w14:textFill>
        </w:rPr>
        <w:t>1</w:t>
      </w:r>
      <w:r>
        <w:rPr>
          <w:rFonts w:hint="eastAsia"/>
          <w:color w:val="000000" w:themeColor="text1"/>
          <w:sz w:val="22"/>
          <w:lang w:val="zh-CN"/>
          <w14:textFill>
            <w14:solidFill>
              <w14:schemeClr w14:val="tx1"/>
            </w14:solidFill>
          </w14:textFill>
        </w:rPr>
        <w:t>）土方工程量是根据图示长度和设计覆土高度计算,如现场实际情况和图纸不符合,结算时按实调整；</w:t>
      </w:r>
    </w:p>
    <w:p>
      <w:pPr>
        <w:spacing w:line="360" w:lineRule="auto"/>
        <w:ind w:firstLine="220" w:firstLineChars="100"/>
        <w:rPr>
          <w:color w:val="000000" w:themeColor="text1"/>
          <w:sz w:val="22"/>
          <w:lang w:val="zh-CN"/>
          <w14:textFill>
            <w14:solidFill>
              <w14:schemeClr w14:val="tx1"/>
            </w14:solidFill>
          </w14:textFill>
        </w:rPr>
      </w:pPr>
      <w:r>
        <w:rPr>
          <w:rFonts w:hint="eastAsia"/>
          <w:color w:val="000000" w:themeColor="text1"/>
          <w:sz w:val="22"/>
          <w:lang w:val="zh-CN"/>
          <w14:textFill>
            <w14:solidFill>
              <w14:schemeClr w14:val="tx1"/>
            </w14:solidFill>
          </w14:textFill>
        </w:rPr>
        <w:t>（</w:t>
      </w:r>
      <w:r>
        <w:rPr>
          <w:rFonts w:hint="eastAsia"/>
          <w:color w:val="000000" w:themeColor="text1"/>
          <w:sz w:val="22"/>
          <w14:textFill>
            <w14:solidFill>
              <w14:schemeClr w14:val="tx1"/>
            </w14:solidFill>
          </w14:textFill>
        </w:rPr>
        <w:t>2</w:t>
      </w:r>
      <w:r>
        <w:rPr>
          <w:rFonts w:hint="eastAsia"/>
          <w:color w:val="000000" w:themeColor="text1"/>
          <w:sz w:val="22"/>
          <w:lang w:val="zh-CN"/>
          <w14:textFill>
            <w14:solidFill>
              <w14:schemeClr w14:val="tx1"/>
            </w14:solidFill>
          </w14:textFill>
        </w:rPr>
        <w:t>）管道施工包含系统压力试验费用和确保消防通过验收的全部调试测试费用，结算时不做调整；</w:t>
      </w:r>
    </w:p>
    <w:p>
      <w:pPr>
        <w:spacing w:line="360" w:lineRule="auto"/>
        <w:rPr>
          <w:sz w:val="28"/>
          <w:szCs w:val="28"/>
        </w:rPr>
      </w:pPr>
      <w:r>
        <w:rPr>
          <w:rFonts w:hint="eastAsia"/>
          <w:sz w:val="28"/>
          <w:szCs w:val="28"/>
        </w:rPr>
        <w:t>六、主要材料设备</w:t>
      </w:r>
    </w:p>
    <w:p>
      <w:pPr>
        <w:spacing w:line="360" w:lineRule="auto"/>
        <w:ind w:firstLine="440" w:firstLineChars="200"/>
        <w:rPr>
          <w:sz w:val="22"/>
        </w:rPr>
      </w:pPr>
      <w:r>
        <w:rPr>
          <w:rFonts w:hint="eastAsia"/>
          <w:sz w:val="22"/>
        </w:rPr>
        <w:t>（一）投标人负责采购的主要材料设备</w:t>
      </w:r>
    </w:p>
    <w:p>
      <w:pPr>
        <w:spacing w:line="360" w:lineRule="auto"/>
        <w:ind w:firstLine="440" w:firstLineChars="20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spacing w:line="360" w:lineRule="auto"/>
        <w:ind w:firstLine="440" w:firstLineChars="200"/>
        <w:rPr>
          <w:sz w:val="22"/>
        </w:rPr>
      </w:pPr>
      <w:r>
        <w:rPr>
          <w:rFonts w:hint="eastAsia"/>
          <w:sz w:val="22"/>
        </w:rPr>
        <w:t>1、主要材料品牌推荐表如下：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843"/>
        <w:gridCol w:w="2410"/>
        <w:gridCol w:w="2410"/>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line="360" w:lineRule="auto"/>
              <w:jc w:val="center"/>
              <w:rPr>
                <w:color w:val="00B0F0"/>
                <w:sz w:val="22"/>
              </w:rPr>
            </w:pPr>
            <w:r>
              <w:rPr>
                <w:rFonts w:hint="eastAsia"/>
                <w:color w:val="00B0F0"/>
                <w:sz w:val="22"/>
              </w:rPr>
              <w:t>序号</w:t>
            </w:r>
          </w:p>
        </w:tc>
        <w:tc>
          <w:tcPr>
            <w:tcW w:w="1843" w:type="dxa"/>
          </w:tcPr>
          <w:p>
            <w:pPr>
              <w:spacing w:line="360" w:lineRule="auto"/>
              <w:jc w:val="center"/>
              <w:rPr>
                <w:color w:val="00B0F0"/>
                <w:sz w:val="22"/>
              </w:rPr>
            </w:pPr>
            <w:r>
              <w:rPr>
                <w:rFonts w:hint="eastAsia"/>
                <w:color w:val="00B0F0"/>
                <w:sz w:val="22"/>
              </w:rPr>
              <w:t>材料设备名称</w:t>
            </w:r>
          </w:p>
        </w:tc>
        <w:tc>
          <w:tcPr>
            <w:tcW w:w="2410" w:type="dxa"/>
          </w:tcPr>
          <w:p>
            <w:pPr>
              <w:spacing w:line="360" w:lineRule="auto"/>
              <w:jc w:val="center"/>
              <w:rPr>
                <w:color w:val="00B0F0"/>
                <w:sz w:val="22"/>
              </w:rPr>
            </w:pPr>
            <w:r>
              <w:rPr>
                <w:rFonts w:hint="eastAsia"/>
                <w:color w:val="00B0F0"/>
                <w:sz w:val="22"/>
              </w:rPr>
              <w:t>可选品牌、系列、型号</w:t>
            </w:r>
          </w:p>
        </w:tc>
        <w:tc>
          <w:tcPr>
            <w:tcW w:w="2410" w:type="dxa"/>
          </w:tcPr>
          <w:p>
            <w:pPr>
              <w:spacing w:line="360" w:lineRule="auto"/>
              <w:jc w:val="center"/>
              <w:rPr>
                <w:color w:val="00B0F0"/>
                <w:sz w:val="22"/>
              </w:rPr>
            </w:pPr>
            <w:r>
              <w:rPr>
                <w:rFonts w:hint="eastAsia"/>
                <w:color w:val="00B0F0"/>
                <w:sz w:val="22"/>
              </w:rPr>
              <w:t>生产商全称</w:t>
            </w:r>
          </w:p>
        </w:tc>
        <w:tc>
          <w:tcPr>
            <w:tcW w:w="1184" w:type="dxa"/>
          </w:tcPr>
          <w:p>
            <w:pPr>
              <w:spacing w:line="360" w:lineRule="auto"/>
              <w:jc w:val="center"/>
              <w:rPr>
                <w:color w:val="00B0F0"/>
                <w:sz w:val="22"/>
              </w:rPr>
            </w:pPr>
            <w:r>
              <w:rPr>
                <w:rFonts w:hint="eastAsia"/>
                <w:color w:val="00B0F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1</w:t>
            </w:r>
          </w:p>
        </w:tc>
        <w:tc>
          <w:tcPr>
            <w:tcW w:w="1843" w:type="dxa"/>
            <w:vMerge w:val="restart"/>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钢筋</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马钢</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马鞍山钢铁股份有限公司（总厂产品）</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沙钢</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江苏沙钢集团有限公司（总厂产品）</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南钢</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南京钢铁股份有限公司（总厂产品）</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永钢</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江苏永钢集团有限公司（总厂产品）</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2</w:t>
            </w:r>
          </w:p>
        </w:tc>
        <w:tc>
          <w:tcPr>
            <w:tcW w:w="1843" w:type="dxa"/>
            <w:vMerge w:val="restart"/>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水泥</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海螺</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海螺集团</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鹤林</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江苏鹤林水泥有限公司（总厂产品）</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中联</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中国联合水泥集团有限公司（总厂产品）</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3</w:t>
            </w:r>
          </w:p>
        </w:tc>
        <w:tc>
          <w:tcPr>
            <w:tcW w:w="1843" w:type="dxa"/>
            <w:vMerge w:val="restart"/>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球墨铸铁给水管</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圣戈班</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圣戈班管道系统有限公司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新兴</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新兴铸管股份有限公司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光大</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徐州光大铸管有限公司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4</w:t>
            </w:r>
          </w:p>
        </w:tc>
        <w:tc>
          <w:tcPr>
            <w:tcW w:w="1843" w:type="dxa"/>
            <w:vMerge w:val="restart"/>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（热镀锌)钢管、焊接钢管</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天虹、吉立</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 xml:space="preserve">邯郸正大制管有限公司 </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金洲</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浙江金洲管道科技股份有限公司</w:t>
            </w:r>
          </w:p>
        </w:tc>
        <w:tc>
          <w:tcPr>
            <w:tcW w:w="1184" w:type="dxa"/>
          </w:tcPr>
          <w:p>
            <w:pPr>
              <w:spacing w:line="360" w:lineRule="auto"/>
              <w:rPr>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rPr>
                <w:color w:val="FF0000"/>
                <w:sz w:val="22"/>
              </w:rPr>
            </w:pPr>
          </w:p>
        </w:tc>
        <w:tc>
          <w:tcPr>
            <w:tcW w:w="1843" w:type="dxa"/>
            <w:vMerge w:val="continue"/>
            <w:vAlign w:val="center"/>
          </w:tcPr>
          <w:p>
            <w:pPr>
              <w:jc w:val="center"/>
              <w:rPr>
                <w:color w:val="FF0000"/>
                <w:sz w:val="22"/>
              </w:rPr>
            </w:pP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友发</w:t>
            </w:r>
          </w:p>
        </w:tc>
        <w:tc>
          <w:tcPr>
            <w:tcW w:w="2410" w:type="dxa"/>
            <w:vAlign w:val="center"/>
          </w:tcPr>
          <w:p>
            <w:pPr>
              <w:widowControl/>
              <w:jc w:val="center"/>
              <w:textAlignment w:val="center"/>
              <w:rPr>
                <w:color w:val="FF0000"/>
                <w:sz w:val="22"/>
              </w:rPr>
            </w:pPr>
            <w:r>
              <w:rPr>
                <w:rFonts w:hint="eastAsia" w:ascii="宋体" w:hAnsi="宋体" w:eastAsia="宋体" w:cs="宋体"/>
                <w:color w:val="000000"/>
                <w:kern w:val="0"/>
                <w:sz w:val="20"/>
                <w:szCs w:val="20"/>
                <w:lang w:bidi="ar"/>
              </w:rPr>
              <w:t>天津友发钢管集团股份有限公司</w:t>
            </w:r>
          </w:p>
        </w:tc>
        <w:tc>
          <w:tcPr>
            <w:tcW w:w="1184" w:type="dxa"/>
          </w:tcPr>
          <w:p>
            <w:pPr>
              <w:spacing w:line="360" w:lineRule="auto"/>
              <w:rPr>
                <w:color w:val="FF0000"/>
                <w:sz w:val="22"/>
              </w:rPr>
            </w:pPr>
          </w:p>
        </w:tc>
      </w:tr>
    </w:tbl>
    <w:p>
      <w:pPr>
        <w:spacing w:line="360" w:lineRule="auto"/>
        <w:ind w:firstLine="440" w:firstLineChars="200"/>
        <w:rPr>
          <w:color w:val="000000" w:themeColor="text1"/>
          <w:sz w:val="22"/>
          <w14:textFill>
            <w14:solidFill>
              <w14:schemeClr w14:val="tx1"/>
            </w14:solidFill>
          </w14:textFill>
        </w:rPr>
      </w:pPr>
      <w:r>
        <w:rPr>
          <w:rFonts w:hint="eastAsia"/>
          <w:sz w:val="22"/>
        </w:rPr>
        <w:t>（二）招标人自行采购的主要材料设备</w:t>
      </w:r>
      <w:r>
        <w:rPr>
          <w:rFonts w:hint="eastAsia"/>
          <w:color w:val="000000" w:themeColor="text1"/>
          <w:sz w:val="22"/>
          <w14:textFill>
            <w14:solidFill>
              <w14:schemeClr w14:val="tx1"/>
            </w14:solidFill>
          </w14:textFill>
        </w:rPr>
        <w:t>：无</w:t>
      </w:r>
    </w:p>
    <w:p>
      <w:pPr>
        <w:spacing w:line="360" w:lineRule="auto"/>
        <w:rPr>
          <w:sz w:val="28"/>
          <w:szCs w:val="28"/>
        </w:rPr>
      </w:pPr>
      <w:r>
        <w:rPr>
          <w:rFonts w:hint="eastAsia"/>
          <w:sz w:val="28"/>
          <w:szCs w:val="28"/>
        </w:rPr>
        <w:t>七、其他说明</w:t>
      </w:r>
    </w:p>
    <w:p>
      <w:pPr>
        <w:spacing w:line="360" w:lineRule="auto"/>
        <w:ind w:firstLine="440" w:firstLineChars="200"/>
        <w:rPr>
          <w:color w:val="FF0000"/>
          <w:sz w:val="22"/>
        </w:rPr>
      </w:pPr>
      <w:r>
        <w:rPr>
          <w:rFonts w:hint="eastAsia"/>
          <w:sz w:val="22"/>
        </w:rPr>
        <w:t>1、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440" w:firstLineChars="200"/>
        <w:rPr>
          <w:sz w:val="22"/>
        </w:rPr>
      </w:pPr>
      <w:r>
        <w:rPr>
          <w:rFonts w:hint="eastAsia"/>
          <w:sz w:val="22"/>
        </w:rPr>
        <w:t>2、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5MTQxM2FlMzQxOTgyNDRjN2Y4ZWJkOTQ1MWZjMjMifQ=="/>
  </w:docVars>
  <w:rsids>
    <w:rsidRoot w:val="007216EE"/>
    <w:rsid w:val="00010301"/>
    <w:rsid w:val="000676DD"/>
    <w:rsid w:val="00067FA7"/>
    <w:rsid w:val="000918CE"/>
    <w:rsid w:val="000B4442"/>
    <w:rsid w:val="000E4EFC"/>
    <w:rsid w:val="000F0F71"/>
    <w:rsid w:val="00110532"/>
    <w:rsid w:val="001918E0"/>
    <w:rsid w:val="002365A9"/>
    <w:rsid w:val="002C7843"/>
    <w:rsid w:val="002F4B81"/>
    <w:rsid w:val="00313FDF"/>
    <w:rsid w:val="0035412E"/>
    <w:rsid w:val="00365827"/>
    <w:rsid w:val="00394EF6"/>
    <w:rsid w:val="003E6A22"/>
    <w:rsid w:val="00403F89"/>
    <w:rsid w:val="00480D2C"/>
    <w:rsid w:val="004B73DE"/>
    <w:rsid w:val="004C4E18"/>
    <w:rsid w:val="004D0895"/>
    <w:rsid w:val="005136AA"/>
    <w:rsid w:val="0052678C"/>
    <w:rsid w:val="00531B35"/>
    <w:rsid w:val="0054714F"/>
    <w:rsid w:val="00591850"/>
    <w:rsid w:val="005A65A1"/>
    <w:rsid w:val="005C1C94"/>
    <w:rsid w:val="00640023"/>
    <w:rsid w:val="006C1D24"/>
    <w:rsid w:val="007102B8"/>
    <w:rsid w:val="007216EE"/>
    <w:rsid w:val="007E10E0"/>
    <w:rsid w:val="00847CE5"/>
    <w:rsid w:val="00864452"/>
    <w:rsid w:val="00876B6F"/>
    <w:rsid w:val="00891AAD"/>
    <w:rsid w:val="00917415"/>
    <w:rsid w:val="00934BB6"/>
    <w:rsid w:val="00955791"/>
    <w:rsid w:val="00965503"/>
    <w:rsid w:val="009E6462"/>
    <w:rsid w:val="00A600B8"/>
    <w:rsid w:val="00AA5070"/>
    <w:rsid w:val="00AD1268"/>
    <w:rsid w:val="00AE6169"/>
    <w:rsid w:val="00AF3547"/>
    <w:rsid w:val="00AF65BE"/>
    <w:rsid w:val="00BF0684"/>
    <w:rsid w:val="00C30855"/>
    <w:rsid w:val="00C31A2C"/>
    <w:rsid w:val="00D3387F"/>
    <w:rsid w:val="00D77557"/>
    <w:rsid w:val="00D92B20"/>
    <w:rsid w:val="00DC4B5D"/>
    <w:rsid w:val="00E50DBB"/>
    <w:rsid w:val="00EA71DC"/>
    <w:rsid w:val="00EE0655"/>
    <w:rsid w:val="00EF2517"/>
    <w:rsid w:val="00F54A72"/>
    <w:rsid w:val="00F83D2A"/>
    <w:rsid w:val="042E3AFB"/>
    <w:rsid w:val="0921521C"/>
    <w:rsid w:val="09BC08BF"/>
    <w:rsid w:val="0AB945BD"/>
    <w:rsid w:val="133E4353"/>
    <w:rsid w:val="137B3BA7"/>
    <w:rsid w:val="1F631DA6"/>
    <w:rsid w:val="20AB34E5"/>
    <w:rsid w:val="2619336D"/>
    <w:rsid w:val="28B31BFB"/>
    <w:rsid w:val="33706502"/>
    <w:rsid w:val="34E769CD"/>
    <w:rsid w:val="3D0E1DE7"/>
    <w:rsid w:val="3F1D1ADE"/>
    <w:rsid w:val="46813DC5"/>
    <w:rsid w:val="47190243"/>
    <w:rsid w:val="50954FAD"/>
    <w:rsid w:val="55E72105"/>
    <w:rsid w:val="57362773"/>
    <w:rsid w:val="5CCD15ED"/>
    <w:rsid w:val="5E273396"/>
    <w:rsid w:val="5EBD2704"/>
    <w:rsid w:val="60A43280"/>
    <w:rsid w:val="742E62D4"/>
    <w:rsid w:val="77814253"/>
    <w:rsid w:val="7B26754F"/>
    <w:rsid w:val="7C900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NormalCharacter"/>
    <w:qFormat/>
    <w:uiPriority w:val="0"/>
  </w:style>
  <w:style w:type="character" w:customStyle="1" w:styleId="11">
    <w:name w:val="fontstyle01"/>
    <w:basedOn w:val="7"/>
    <w:qFormat/>
    <w:uiPriority w:val="0"/>
    <w:rPr>
      <w:rFonts w:ascii="宋体" w:hAnsi="宋体" w:eastAsia="宋体" w:cs="宋体"/>
      <w:color w:val="000000"/>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1990</Words>
  <Characters>2067</Characters>
  <Lines>15</Lines>
  <Paragraphs>4</Paragraphs>
  <TotalTime>8</TotalTime>
  <ScaleCrop>false</ScaleCrop>
  <LinksUpToDate>false</LinksUpToDate>
  <CharactersWithSpaces>2069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沈兵</cp:lastModifiedBy>
  <dcterms:modified xsi:type="dcterms:W3CDTF">2022-06-01T05:57:28Z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EB9D1147D49040C392397708117769EF</vt:lpwstr>
  </property>
</Properties>
</file>