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4DB36">
      <w:pPr>
        <w:spacing w:line="360" w:lineRule="auto"/>
        <w:jc w:val="center"/>
        <w:rPr>
          <w:b/>
          <w:color w:val="auto"/>
          <w:sz w:val="32"/>
          <w:szCs w:val="32"/>
        </w:rPr>
      </w:pPr>
      <w:r>
        <w:rPr>
          <w:rFonts w:hint="eastAsia"/>
          <w:b/>
          <w:color w:val="auto"/>
          <w:sz w:val="32"/>
          <w:szCs w:val="32"/>
        </w:rPr>
        <w:t>招标工程量清单编制说明</w:t>
      </w:r>
    </w:p>
    <w:p w14:paraId="585D3546">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一、工程概况</w:t>
      </w:r>
    </w:p>
    <w:p w14:paraId="43FFAB0A">
      <w:pPr>
        <w:spacing w:line="360" w:lineRule="auto"/>
        <w:ind w:firstLine="440" w:firstLineChars="200"/>
        <w:rPr>
          <w:rFonts w:hint="eastAsia"/>
          <w:color w:val="auto"/>
          <w:sz w:val="22"/>
          <w:lang w:val="en-US" w:eastAsia="zh-CN"/>
        </w:rPr>
      </w:pPr>
      <w:r>
        <w:rPr>
          <w:rFonts w:hint="eastAsia"/>
          <w:color w:val="auto"/>
          <w:sz w:val="22"/>
          <w:highlight w:val="none"/>
        </w:rPr>
        <w:t>本项目为</w:t>
      </w:r>
      <w:r>
        <w:rPr>
          <w:rFonts w:hint="eastAsia"/>
          <w:color w:val="auto"/>
          <w:sz w:val="22"/>
          <w:highlight w:val="none"/>
          <w:lang w:eastAsia="zh-CN"/>
        </w:rPr>
        <w:t>南京大学仙林校区医学院楼内庭院外墙消险改造工程</w:t>
      </w:r>
      <w:r>
        <w:rPr>
          <w:rFonts w:hint="eastAsia"/>
          <w:color w:val="auto"/>
          <w:sz w:val="22"/>
          <w:highlight w:val="none"/>
          <w:lang w:val="en-US" w:eastAsia="zh-CN"/>
        </w:rPr>
        <w:t>，项目</w:t>
      </w:r>
      <w:r>
        <w:rPr>
          <w:rFonts w:hint="eastAsia"/>
          <w:color w:val="auto"/>
          <w:sz w:val="22"/>
          <w:lang w:val="en-US" w:eastAsia="zh-CN"/>
        </w:rPr>
        <w:t>位于南京大学仙林校区内。</w:t>
      </w:r>
    </w:p>
    <w:p w14:paraId="775E0F2C">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二、工程招标和分包范围</w:t>
      </w:r>
    </w:p>
    <w:p w14:paraId="2E4CCC04">
      <w:pPr>
        <w:spacing w:line="360" w:lineRule="auto"/>
        <w:ind w:firstLine="440" w:firstLineChars="200"/>
        <w:rPr>
          <w:color w:val="auto"/>
        </w:rPr>
      </w:pPr>
      <w:r>
        <w:rPr>
          <w:rFonts w:hint="eastAsia"/>
          <w:color w:val="auto"/>
          <w:sz w:val="22"/>
        </w:rPr>
        <w:t>建设单位下发的图纸中全部内容，包含但不限于</w:t>
      </w:r>
      <w:r>
        <w:rPr>
          <w:rFonts w:hint="eastAsia"/>
          <w:color w:val="auto"/>
          <w:sz w:val="22"/>
          <w:highlight w:val="none"/>
        </w:rPr>
        <w:t>南京大学仙林校区医学院内庭院</w:t>
      </w:r>
      <w:r>
        <w:rPr>
          <w:rFonts w:hint="eastAsia"/>
          <w:color w:val="auto"/>
          <w:sz w:val="22"/>
          <w:highlight w:val="none"/>
          <w:lang w:val="en-US" w:eastAsia="zh-CN"/>
        </w:rPr>
        <w:t>外立面现场勘查外立面拆除</w:t>
      </w:r>
      <w:r>
        <w:rPr>
          <w:rFonts w:hint="eastAsia"/>
          <w:color w:val="auto"/>
          <w:sz w:val="22"/>
        </w:rPr>
        <w:t>等。</w:t>
      </w:r>
    </w:p>
    <w:p w14:paraId="4A075CA8">
      <w:pPr>
        <w:spacing w:line="360" w:lineRule="auto"/>
        <w:ind w:firstLine="442" w:firstLineChars="200"/>
        <w:rPr>
          <w:rFonts w:asciiTheme="minorEastAsia" w:hAnsiTheme="minorEastAsia"/>
          <w:color w:val="auto"/>
          <w:sz w:val="22"/>
        </w:rPr>
      </w:pPr>
      <w:r>
        <w:rPr>
          <w:rFonts w:hint="eastAsia" w:asciiTheme="minorEastAsia" w:hAnsiTheme="minorEastAsia"/>
          <w:b/>
          <w:color w:val="auto"/>
          <w:sz w:val="22"/>
        </w:rPr>
        <w:t>三、编制依据</w:t>
      </w:r>
    </w:p>
    <w:p w14:paraId="27DA7CC7">
      <w:pPr>
        <w:spacing w:line="360" w:lineRule="auto"/>
        <w:ind w:firstLine="440" w:firstLineChars="200"/>
        <w:rPr>
          <w:rFonts w:asciiTheme="minorEastAsia" w:hAnsiTheme="minorEastAsia"/>
          <w:i/>
          <w:color w:val="auto"/>
          <w:sz w:val="22"/>
          <w:u w:val="single"/>
        </w:rPr>
      </w:pPr>
      <w:r>
        <w:rPr>
          <w:rFonts w:hint="eastAsia" w:asciiTheme="minorEastAsia" w:hAnsiTheme="minorEastAsia"/>
          <w:color w:val="auto"/>
          <w:sz w:val="22"/>
        </w:rPr>
        <w:t>1、</w:t>
      </w:r>
      <w:r>
        <w:rPr>
          <w:rFonts w:hint="eastAsia"/>
          <w:color w:val="auto"/>
          <w:sz w:val="22"/>
        </w:rPr>
        <w:t>建设单位下发的</w:t>
      </w:r>
      <w:r>
        <w:rPr>
          <w:rFonts w:hint="eastAsia"/>
          <w:color w:val="auto"/>
          <w:sz w:val="22"/>
          <w:highlight w:val="none"/>
          <w:lang w:eastAsia="zh-CN"/>
        </w:rPr>
        <w:t>南京大学仙林校区医学院楼内庭院外墙消险改造工程</w:t>
      </w:r>
      <w:bookmarkStart w:id="0" w:name="_GoBack"/>
      <w:bookmarkEnd w:id="0"/>
      <w:r>
        <w:rPr>
          <w:rFonts w:hint="eastAsia"/>
          <w:color w:val="auto"/>
          <w:sz w:val="22"/>
          <w:highlight w:val="none"/>
          <w:lang w:val="en-US" w:eastAsia="zh-CN"/>
        </w:rPr>
        <w:t>图纸</w:t>
      </w:r>
      <w:r>
        <w:rPr>
          <w:rFonts w:hint="eastAsia"/>
          <w:color w:val="auto"/>
          <w:sz w:val="22"/>
        </w:rPr>
        <w:t>。</w:t>
      </w:r>
    </w:p>
    <w:p w14:paraId="15239E22">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lang w:val="en-US" w:eastAsia="zh-CN"/>
        </w:rPr>
        <w:t>2</w:t>
      </w:r>
      <w:r>
        <w:rPr>
          <w:rFonts w:hint="eastAsia" w:asciiTheme="minorEastAsia" w:hAnsiTheme="minorEastAsia"/>
          <w:color w:val="auto"/>
          <w:sz w:val="22"/>
        </w:rPr>
        <w:t>、</w:t>
      </w:r>
      <w:r>
        <w:rPr>
          <w:rFonts w:hint="eastAsia" w:asciiTheme="minorEastAsia" w:hAnsiTheme="minorEastAsia"/>
          <w:sz w:val="22"/>
        </w:rPr>
        <w:t>计量规范</w:t>
      </w:r>
      <w:r>
        <w:rPr>
          <w:rFonts w:hint="eastAsia" w:asciiTheme="minorEastAsia" w:hAnsiTheme="minorEastAsia"/>
          <w:color w:val="auto"/>
          <w:sz w:val="22"/>
        </w:rPr>
        <w:t>：</w:t>
      </w:r>
    </w:p>
    <w:p w14:paraId="353F06D1">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①《建设工程工程量清单计价规范》（GB50500-2013）</w:t>
      </w:r>
    </w:p>
    <w:p w14:paraId="1A67B749">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②《房屋建筑与装饰工程工程量计算规范》（GB50854-2013）</w:t>
      </w:r>
    </w:p>
    <w:p w14:paraId="2F643BB4">
      <w:pPr>
        <w:spacing w:line="360" w:lineRule="auto"/>
        <w:ind w:firstLine="440" w:firstLineChars="200"/>
        <w:rPr>
          <w:rFonts w:hint="default" w:asciiTheme="minorEastAsia" w:hAnsiTheme="minorEastAsia" w:eastAsiaTheme="minorEastAsia"/>
          <w:color w:val="auto"/>
          <w:sz w:val="22"/>
          <w:lang w:val="en-US" w:eastAsia="zh-CN"/>
        </w:rPr>
      </w:pPr>
      <w:r>
        <w:rPr>
          <w:rFonts w:hint="eastAsia" w:asciiTheme="minorEastAsia" w:hAnsiTheme="minorEastAsia"/>
          <w:color w:val="auto"/>
          <w:sz w:val="22"/>
        </w:rPr>
        <w:t>③现行相关补充或调整文件</w:t>
      </w:r>
      <w:r>
        <w:rPr>
          <w:rFonts w:hint="eastAsia" w:asciiTheme="minorEastAsia" w:hAnsiTheme="minorEastAsia"/>
          <w:color w:val="auto"/>
          <w:sz w:val="22"/>
          <w:lang w:val="en-US" w:eastAsia="zh-CN"/>
        </w:rPr>
        <w:t xml:space="preserve">      </w:t>
      </w:r>
    </w:p>
    <w:p w14:paraId="2E304C42">
      <w:pPr>
        <w:spacing w:line="360" w:lineRule="auto"/>
        <w:ind w:firstLine="440" w:firstLineChars="200"/>
        <w:rPr>
          <w:color w:val="auto"/>
          <w:sz w:val="22"/>
        </w:rPr>
      </w:pPr>
      <w:r>
        <w:rPr>
          <w:rFonts w:hint="eastAsia"/>
          <w:color w:val="auto"/>
          <w:sz w:val="22"/>
        </w:rPr>
        <w:t>3、与本工程项目有关的标准、施工规范与验收规范。</w:t>
      </w:r>
    </w:p>
    <w:p w14:paraId="6803BE48">
      <w:pPr>
        <w:spacing w:line="360" w:lineRule="auto"/>
        <w:ind w:firstLine="442" w:firstLineChars="200"/>
        <w:rPr>
          <w:rFonts w:asciiTheme="minorEastAsia" w:hAnsiTheme="minorEastAsia"/>
          <w:color w:val="auto"/>
          <w:sz w:val="22"/>
        </w:rPr>
      </w:pPr>
      <w:r>
        <w:rPr>
          <w:rFonts w:hint="eastAsia" w:asciiTheme="minorEastAsia" w:hAnsiTheme="minorEastAsia"/>
          <w:b/>
          <w:color w:val="auto"/>
          <w:sz w:val="22"/>
        </w:rPr>
        <w:t>四、取费标准</w:t>
      </w:r>
    </w:p>
    <w:p w14:paraId="2D65BF8C">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1、《江苏省建设工程费用定额》（2014）。</w:t>
      </w:r>
    </w:p>
    <w:p w14:paraId="5A7A81DB">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2、《省住房城乡建设厅关于建筑业实施营改增后江苏省建设工程计价依据调整的通知》 苏建价（2016）154号文及相关附件。</w:t>
      </w:r>
    </w:p>
    <w:p w14:paraId="0B68AC33">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3、《省住房城乡建设厅关于建筑业增值税计价政策调整的通知》苏建函价（2019）178号文。</w:t>
      </w:r>
    </w:p>
    <w:p w14:paraId="45040135">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4、《省住房城乡建设厅关于建筑工人实名制费用计取方法的公告》〔2019〕第19号</w:t>
      </w:r>
    </w:p>
    <w:p w14:paraId="112C1F02">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lang w:val="en-US" w:eastAsia="zh-CN"/>
        </w:rPr>
        <w:t>5</w:t>
      </w:r>
      <w:r>
        <w:rPr>
          <w:rFonts w:hint="eastAsia" w:asciiTheme="minorEastAsia" w:hAnsiTheme="minorEastAsia"/>
          <w:color w:val="auto"/>
          <w:sz w:val="22"/>
        </w:rPr>
        <w:t>、安全文明施工措施费计取基本费和扬尘污染防治增加费。</w:t>
      </w:r>
    </w:p>
    <w:p w14:paraId="70166812">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lang w:val="en-US" w:eastAsia="zh-CN"/>
        </w:rPr>
        <w:t>6</w:t>
      </w:r>
      <w:r>
        <w:rPr>
          <w:rFonts w:hint="eastAsia" w:asciiTheme="minorEastAsia" w:hAnsiTheme="minorEastAsia"/>
          <w:color w:val="auto"/>
          <w:sz w:val="22"/>
        </w:rPr>
        <w:t>、政策性文件及报价参考执行投标截止日前省市建委造价有关文件，投标截止日后的省市建委造价文件不予执行。</w:t>
      </w:r>
    </w:p>
    <w:p w14:paraId="167EC30C">
      <w:pPr>
        <w:spacing w:line="360" w:lineRule="auto"/>
        <w:ind w:firstLine="440" w:firstLineChars="200"/>
        <w:rPr>
          <w:rFonts w:asciiTheme="minorEastAsia" w:hAnsiTheme="minorEastAsia"/>
          <w:color w:val="auto"/>
          <w:sz w:val="22"/>
          <w:highlight w:val="none"/>
        </w:rPr>
      </w:pPr>
      <w:r>
        <w:rPr>
          <w:rFonts w:hint="eastAsia" w:asciiTheme="minorEastAsia" w:hAnsiTheme="minorEastAsia"/>
          <w:color w:val="auto"/>
          <w:sz w:val="22"/>
          <w:highlight w:val="none"/>
          <w:lang w:val="en-US" w:eastAsia="zh-CN"/>
        </w:rPr>
        <w:t>7</w:t>
      </w:r>
      <w:r>
        <w:rPr>
          <w:rFonts w:hint="eastAsia" w:asciiTheme="minorEastAsia" w:hAnsiTheme="minorEastAsia"/>
          <w:color w:val="auto"/>
          <w:sz w:val="22"/>
          <w:highlight w:val="none"/>
        </w:rPr>
        <w:t>、人工工资参考江苏省建设工程人工工资指导价自主报价，其它费用按照省市建委发布的有关文件及政策规定等执行，报价参考执行投标截止日前省建设厅、市建委造价有关文件。</w:t>
      </w:r>
    </w:p>
    <w:p w14:paraId="0E380685">
      <w:pPr>
        <w:spacing w:line="360" w:lineRule="auto"/>
        <w:ind w:firstLine="440" w:firstLineChars="200"/>
        <w:rPr>
          <w:rFonts w:hint="eastAsia" w:asciiTheme="minorEastAsia" w:hAnsiTheme="minorEastAsia"/>
          <w:color w:val="auto"/>
          <w:sz w:val="22"/>
        </w:rPr>
      </w:pPr>
    </w:p>
    <w:p w14:paraId="74707E32">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8、暂列金额及暂估价：</w:t>
      </w:r>
    </w:p>
    <w:p w14:paraId="169BE91B">
      <w:pPr>
        <w:spacing w:line="360" w:lineRule="auto"/>
        <w:ind w:firstLine="440" w:firstLineChars="200"/>
        <w:rPr>
          <w:rFonts w:hint="eastAsia" w:asciiTheme="minorEastAsia" w:hAnsiTheme="minorEastAsia" w:eastAsiaTheme="minorEastAsia"/>
          <w:color w:val="auto"/>
          <w:sz w:val="22"/>
          <w:highlight w:val="none"/>
          <w:lang w:eastAsia="zh-CN"/>
        </w:rPr>
      </w:pPr>
      <w:r>
        <w:rPr>
          <w:rFonts w:hint="eastAsia" w:asciiTheme="minorEastAsia" w:hAnsiTheme="minorEastAsia"/>
          <w:color w:val="auto"/>
          <w:sz w:val="22"/>
          <w:highlight w:val="none"/>
        </w:rPr>
        <w:t>（1）暂列金额：</w:t>
      </w:r>
      <w:r>
        <w:rPr>
          <w:rFonts w:hint="eastAsia" w:asciiTheme="minorEastAsia" w:hAnsiTheme="minorEastAsia"/>
          <w:color w:val="auto"/>
          <w:sz w:val="22"/>
          <w:highlight w:val="none"/>
          <w:lang w:val="en-US" w:eastAsia="zh-CN"/>
        </w:rPr>
        <w:t>16406.21元</w:t>
      </w:r>
      <w:r>
        <w:rPr>
          <w:rFonts w:hint="eastAsia" w:asciiTheme="minorEastAsia" w:hAnsiTheme="minorEastAsia"/>
          <w:color w:val="auto"/>
          <w:sz w:val="22"/>
          <w:highlight w:val="none"/>
          <w:lang w:eastAsia="zh-CN"/>
        </w:rPr>
        <w:t>。</w:t>
      </w:r>
    </w:p>
    <w:p w14:paraId="03363497">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（2）暂估价：无。</w:t>
      </w:r>
    </w:p>
    <w:p w14:paraId="6428A5E9">
      <w:pPr>
        <w:spacing w:line="360" w:lineRule="auto"/>
        <w:ind w:firstLine="442" w:firstLineChars="200"/>
        <w:rPr>
          <w:rFonts w:asciiTheme="minorEastAsia" w:hAnsiTheme="minorEastAsia"/>
          <w:b/>
          <w:i/>
          <w:color w:val="auto"/>
          <w:sz w:val="22"/>
          <w:u w:val="single"/>
        </w:rPr>
      </w:pPr>
      <w:r>
        <w:rPr>
          <w:rFonts w:hint="eastAsia" w:asciiTheme="minorEastAsia" w:hAnsiTheme="minorEastAsia"/>
          <w:b/>
          <w:color w:val="auto"/>
          <w:sz w:val="22"/>
        </w:rPr>
        <w:t>五、图纸及工程量计算中的相关说明</w:t>
      </w:r>
    </w:p>
    <w:p w14:paraId="34E23777">
      <w:pPr>
        <w:spacing w:line="360" w:lineRule="auto"/>
        <w:ind w:firstLine="440" w:firstLineChars="200"/>
        <w:rPr>
          <w:rFonts w:hint="eastAsia" w:ascii="宋体" w:hAnsi="宋体" w:eastAsia="宋体" w:cs="宋体"/>
          <w:color w:val="auto"/>
          <w:sz w:val="22"/>
        </w:rPr>
      </w:pPr>
      <w:r>
        <w:rPr>
          <w:rFonts w:hint="eastAsia" w:ascii="宋体" w:hAnsi="宋体" w:eastAsia="宋体" w:cs="宋体"/>
          <w:color w:val="auto"/>
          <w:sz w:val="22"/>
        </w:rPr>
        <w:t>1、通用部分</w:t>
      </w:r>
    </w:p>
    <w:p w14:paraId="5CE1DD59">
      <w:pPr>
        <w:spacing w:line="360" w:lineRule="auto"/>
        <w:ind w:firstLine="440" w:firstLineChars="200"/>
        <w:rPr>
          <w:rFonts w:hint="eastAsia" w:ascii="宋体" w:hAnsi="宋体" w:eastAsia="宋体" w:cs="宋体"/>
          <w:color w:val="auto"/>
          <w:sz w:val="22"/>
        </w:rPr>
      </w:pP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1</w:t>
      </w:r>
      <w:r>
        <w:rPr>
          <w:rFonts w:hint="eastAsia" w:asciiTheme="minorEastAsia" w:hAnsiTheme="minorEastAsia"/>
          <w:color w:val="auto"/>
          <w:sz w:val="22"/>
          <w:lang w:eastAsia="zh-CN"/>
        </w:rPr>
        <w:t>）</w:t>
      </w:r>
      <w:r>
        <w:rPr>
          <w:rFonts w:hint="eastAsia" w:asciiTheme="minorEastAsia" w:hAnsiTheme="minorEastAsia"/>
          <w:color w:val="auto"/>
          <w:sz w:val="22"/>
        </w:rPr>
        <w:t>工程量清单应与招标文件、招标项目设计图纸</w:t>
      </w: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现场勘查</w:t>
      </w:r>
      <w:r>
        <w:rPr>
          <w:rFonts w:hint="eastAsia" w:asciiTheme="minorEastAsia" w:hAnsiTheme="minorEastAsia"/>
          <w:color w:val="auto"/>
          <w:sz w:val="22"/>
        </w:rPr>
        <w:t>等文件结合起来查阅与理解。工程量清单中所描述的项目特征仅为招标人对该分部分项目工程特征的概述，而非是工程特征的全面描述，报价时必须按设计图纸及相关的国家规范的要求。</w:t>
      </w:r>
    </w:p>
    <w:p w14:paraId="79835C83">
      <w:pPr>
        <w:autoSpaceDE w:val="0"/>
        <w:autoSpaceDN w:val="0"/>
        <w:adjustRightInd w:val="0"/>
        <w:spacing w:line="360" w:lineRule="auto"/>
        <w:ind w:firstLine="440" w:firstLineChars="200"/>
        <w:jc w:val="left"/>
        <w:rPr>
          <w:rFonts w:ascii="宋体" w:hAnsi="宋体" w:eastAsia="宋体" w:cs="宋体"/>
          <w:color w:val="auto"/>
          <w:sz w:val="22"/>
        </w:rPr>
      </w:pPr>
      <w:r>
        <w:rPr>
          <w:rFonts w:hint="eastAsia" w:ascii="宋体" w:hAnsi="宋体" w:eastAsia="宋体" w:cs="宋体"/>
          <w:color w:val="auto"/>
          <w:sz w:val="22"/>
        </w:rPr>
        <w:t>（</w:t>
      </w:r>
      <w:r>
        <w:rPr>
          <w:rFonts w:hint="eastAsia" w:ascii="宋体" w:hAnsi="宋体" w:eastAsia="宋体" w:cs="宋体"/>
          <w:color w:val="auto"/>
          <w:sz w:val="22"/>
          <w:lang w:val="en-US" w:eastAsia="zh-CN"/>
        </w:rPr>
        <w:t>2</w:t>
      </w:r>
      <w:r>
        <w:rPr>
          <w:rFonts w:hint="eastAsia" w:ascii="宋体" w:hAnsi="宋体" w:eastAsia="宋体" w:cs="宋体"/>
          <w:color w:val="auto"/>
          <w:sz w:val="22"/>
        </w:rPr>
        <w:t>）投标人在投标报价时结合现场实际情况考虑在办公区域施工等因素，须做好封闭及安全防护，结算时不再调整。</w:t>
      </w:r>
    </w:p>
    <w:p w14:paraId="3F1122D1">
      <w:pPr>
        <w:autoSpaceDE w:val="0"/>
        <w:autoSpaceDN w:val="0"/>
        <w:adjustRightInd w:val="0"/>
        <w:spacing w:line="360" w:lineRule="auto"/>
        <w:ind w:firstLine="440" w:firstLineChars="200"/>
        <w:jc w:val="left"/>
        <w:rPr>
          <w:rFonts w:ascii="宋体" w:hAnsi="宋体" w:eastAsia="宋体" w:cs="宋体"/>
          <w:color w:val="auto"/>
          <w:sz w:val="22"/>
        </w:rPr>
      </w:pPr>
      <w:r>
        <w:rPr>
          <w:rFonts w:hint="eastAsia" w:ascii="宋体" w:hAnsi="宋体" w:eastAsia="宋体" w:cs="宋体"/>
          <w:color w:val="auto"/>
          <w:sz w:val="22"/>
        </w:rPr>
        <w:t>（</w:t>
      </w:r>
      <w:r>
        <w:rPr>
          <w:rFonts w:hint="eastAsia" w:ascii="宋体" w:hAnsi="宋体" w:eastAsia="宋体" w:cs="宋体"/>
          <w:color w:val="auto"/>
          <w:sz w:val="22"/>
          <w:lang w:val="en-US" w:eastAsia="zh-CN"/>
        </w:rPr>
        <w:t>3</w:t>
      </w:r>
      <w:r>
        <w:rPr>
          <w:rFonts w:hint="eastAsia" w:ascii="宋体" w:hAnsi="宋体" w:eastAsia="宋体" w:cs="宋体"/>
          <w:color w:val="auto"/>
          <w:sz w:val="22"/>
        </w:rPr>
        <w:t>）本工程所需报验、报检费用由投标人自行考虑计入到投标报价中。</w:t>
      </w:r>
    </w:p>
    <w:p w14:paraId="450EAC52">
      <w:pPr>
        <w:tabs>
          <w:tab w:val="left" w:pos="426"/>
        </w:tabs>
        <w:autoSpaceDE w:val="0"/>
        <w:autoSpaceDN w:val="0"/>
        <w:adjustRightInd w:val="0"/>
        <w:spacing w:line="360" w:lineRule="auto"/>
        <w:ind w:firstLine="440" w:firstLineChars="200"/>
        <w:jc w:val="left"/>
        <w:rPr>
          <w:rFonts w:ascii="宋体" w:hAnsi="宋体" w:eastAsia="宋体" w:cs="宋体"/>
          <w:color w:val="auto"/>
          <w:kern w:val="0"/>
          <w:sz w:val="22"/>
          <w:lang w:val="zh-CN"/>
        </w:rPr>
      </w:pPr>
      <w:r>
        <w:rPr>
          <w:rFonts w:hint="eastAsia" w:ascii="宋体" w:hAnsi="宋体" w:eastAsia="宋体" w:cs="宋体"/>
          <w:color w:val="auto"/>
          <w:kern w:val="0"/>
          <w:sz w:val="22"/>
        </w:rPr>
        <w:t>（</w:t>
      </w:r>
      <w:r>
        <w:rPr>
          <w:rFonts w:hint="eastAsia" w:ascii="宋体" w:hAnsi="宋体" w:eastAsia="宋体" w:cs="宋体"/>
          <w:color w:val="auto"/>
          <w:kern w:val="0"/>
          <w:sz w:val="22"/>
          <w:lang w:val="en-US" w:eastAsia="zh-CN"/>
        </w:rPr>
        <w:t>4</w:t>
      </w:r>
      <w:r>
        <w:rPr>
          <w:rFonts w:hint="eastAsia" w:ascii="宋体" w:hAnsi="宋体" w:eastAsia="宋体" w:cs="宋体"/>
          <w:color w:val="auto"/>
          <w:kern w:val="0"/>
          <w:sz w:val="22"/>
        </w:rPr>
        <w:t>）</w:t>
      </w:r>
      <w:r>
        <w:rPr>
          <w:rFonts w:hint="eastAsia" w:ascii="宋体" w:hAnsi="宋体" w:eastAsia="宋体" w:cs="宋体"/>
          <w:color w:val="auto"/>
          <w:kern w:val="0"/>
          <w:sz w:val="22"/>
          <w:lang w:val="zh-CN"/>
        </w:rPr>
        <w:t>措施费项目投标单位可自行增添内容，自行报价，未计放部分按优惠考虑，结算时不再调整，投标人在报价中应充分考虑所涉及的各项措施费及风险因素后再进行报价，</w:t>
      </w:r>
      <w:r>
        <w:rPr>
          <w:rFonts w:hint="eastAsia" w:ascii="宋体" w:hAnsi="宋体" w:eastAsia="宋体" w:cs="宋体"/>
          <w:bCs/>
          <w:color w:val="auto"/>
          <w:sz w:val="22"/>
        </w:rPr>
        <w:t>不可竞争费按规定报价。</w:t>
      </w:r>
    </w:p>
    <w:p w14:paraId="49FED8DF">
      <w:pPr>
        <w:tabs>
          <w:tab w:val="left" w:pos="426"/>
        </w:tabs>
        <w:autoSpaceDE w:val="0"/>
        <w:autoSpaceDN w:val="0"/>
        <w:adjustRightInd w:val="0"/>
        <w:spacing w:line="360" w:lineRule="auto"/>
        <w:ind w:firstLine="440" w:firstLineChars="200"/>
        <w:jc w:val="left"/>
        <w:rPr>
          <w:rFonts w:ascii="宋体" w:hAnsi="宋体" w:eastAsia="宋体" w:cs="宋体"/>
          <w:color w:val="auto"/>
          <w:kern w:val="0"/>
          <w:sz w:val="22"/>
          <w:lang w:val="zh-CN"/>
        </w:rPr>
      </w:pPr>
      <w:r>
        <w:rPr>
          <w:rFonts w:hint="eastAsia" w:ascii="宋体" w:hAnsi="宋体" w:eastAsia="宋体" w:cs="宋体"/>
          <w:color w:val="auto"/>
          <w:kern w:val="0"/>
          <w:sz w:val="22"/>
          <w:lang w:val="zh-CN"/>
        </w:rPr>
        <w:t>（</w:t>
      </w:r>
      <w:r>
        <w:rPr>
          <w:rFonts w:hint="eastAsia" w:ascii="宋体" w:hAnsi="宋体" w:eastAsia="宋体" w:cs="宋体"/>
          <w:color w:val="auto"/>
          <w:kern w:val="0"/>
          <w:sz w:val="22"/>
          <w:lang w:val="en-US" w:eastAsia="zh-CN"/>
        </w:rPr>
        <w:t>5</w:t>
      </w:r>
      <w:r>
        <w:rPr>
          <w:rFonts w:hint="eastAsia" w:ascii="宋体" w:hAnsi="宋体" w:eastAsia="宋体" w:cs="宋体"/>
          <w:color w:val="auto"/>
          <w:kern w:val="0"/>
          <w:sz w:val="22"/>
          <w:lang w:val="zh-CN"/>
        </w:rPr>
        <w:t>）施工现场、交通运输情况及自然地理条件由投标人自行现场勘察，应充分考虑本工程场地现状的特点，可能对工程施工造成的影响并由此增加的费用等，做出考量一并考虑在投标报价中。</w:t>
      </w:r>
    </w:p>
    <w:p w14:paraId="73306322">
      <w:pPr>
        <w:tabs>
          <w:tab w:val="left" w:pos="284"/>
          <w:tab w:val="left" w:pos="426"/>
        </w:tabs>
        <w:autoSpaceDE w:val="0"/>
        <w:autoSpaceDN w:val="0"/>
        <w:adjustRightInd w:val="0"/>
        <w:spacing w:line="360" w:lineRule="auto"/>
        <w:ind w:firstLine="440" w:firstLineChars="200"/>
        <w:jc w:val="left"/>
        <w:rPr>
          <w:rFonts w:ascii="宋体" w:hAnsi="宋体" w:eastAsia="宋体" w:cs="宋体"/>
          <w:color w:val="auto"/>
          <w:kern w:val="0"/>
          <w:sz w:val="22"/>
          <w:lang w:val="zh-CN"/>
        </w:rPr>
      </w:pPr>
      <w:r>
        <w:rPr>
          <w:rFonts w:hint="eastAsia" w:ascii="宋体" w:hAnsi="宋体" w:eastAsia="宋体" w:cs="宋体"/>
          <w:color w:val="auto"/>
          <w:kern w:val="0"/>
          <w:sz w:val="22"/>
          <w:lang w:val="zh-CN"/>
        </w:rPr>
        <w:t>（</w:t>
      </w:r>
      <w:r>
        <w:rPr>
          <w:rFonts w:hint="eastAsia" w:ascii="宋体" w:hAnsi="宋体" w:eastAsia="宋体" w:cs="宋体"/>
          <w:color w:val="auto"/>
          <w:kern w:val="0"/>
          <w:sz w:val="22"/>
          <w:lang w:val="en-US" w:eastAsia="zh-CN"/>
        </w:rPr>
        <w:t>6</w:t>
      </w:r>
      <w:r>
        <w:rPr>
          <w:rFonts w:hint="eastAsia" w:ascii="宋体" w:hAnsi="宋体" w:eastAsia="宋体" w:cs="宋体"/>
          <w:color w:val="auto"/>
          <w:kern w:val="0"/>
          <w:sz w:val="22"/>
          <w:lang w:val="zh-CN"/>
        </w:rPr>
        <w:t>）清单中项目特征描述不详处，以图纸</w:t>
      </w:r>
      <w:r>
        <w:rPr>
          <w:rFonts w:hint="eastAsia" w:ascii="宋体" w:hAnsi="宋体" w:eastAsia="宋体" w:cs="宋体"/>
          <w:color w:val="auto"/>
          <w:kern w:val="0"/>
          <w:sz w:val="22"/>
          <w:lang w:val="en-US" w:eastAsia="zh-CN"/>
        </w:rPr>
        <w:t>及现场勘查</w:t>
      </w:r>
      <w:r>
        <w:rPr>
          <w:rFonts w:hint="eastAsia" w:ascii="宋体" w:hAnsi="宋体" w:eastAsia="宋体" w:cs="宋体"/>
          <w:color w:val="auto"/>
          <w:kern w:val="0"/>
          <w:sz w:val="22"/>
          <w:lang w:val="zh-CN"/>
        </w:rPr>
        <w:t>为准，投标报价时应考虑图纸所示施工要求等一切费用。</w:t>
      </w:r>
    </w:p>
    <w:p w14:paraId="5A36332D">
      <w:pPr>
        <w:tabs>
          <w:tab w:val="left" w:pos="1067"/>
        </w:tabs>
        <w:spacing w:line="360" w:lineRule="auto"/>
        <w:ind w:firstLine="440" w:firstLineChars="200"/>
        <w:rPr>
          <w:rFonts w:ascii="宋体" w:hAnsi="宋体" w:eastAsia="宋体" w:cs="宋体"/>
          <w:color w:val="auto"/>
          <w:sz w:val="22"/>
        </w:rPr>
      </w:pPr>
      <w:r>
        <w:rPr>
          <w:rFonts w:hint="eastAsia" w:ascii="宋体" w:hAnsi="宋体" w:eastAsia="宋体" w:cs="宋体"/>
          <w:color w:val="auto"/>
          <w:kern w:val="0"/>
          <w:sz w:val="22"/>
          <w:lang w:val="zh-CN"/>
        </w:rPr>
        <w:t>（</w:t>
      </w:r>
      <w:r>
        <w:rPr>
          <w:rFonts w:hint="eastAsia" w:ascii="宋体" w:hAnsi="宋体" w:eastAsia="宋体" w:cs="宋体"/>
          <w:color w:val="auto"/>
          <w:kern w:val="0"/>
          <w:sz w:val="22"/>
        </w:rPr>
        <w:t>7</w:t>
      </w:r>
      <w:r>
        <w:rPr>
          <w:rFonts w:hint="eastAsia" w:ascii="宋体" w:hAnsi="宋体" w:eastAsia="宋体" w:cs="宋体"/>
          <w:color w:val="auto"/>
          <w:kern w:val="0"/>
          <w:sz w:val="22"/>
          <w:lang w:val="zh-CN"/>
        </w:rPr>
        <w:t>）</w:t>
      </w:r>
      <w:r>
        <w:rPr>
          <w:rFonts w:hint="eastAsia" w:ascii="宋体" w:hAnsi="宋体" w:eastAsia="宋体" w:cs="宋体"/>
          <w:color w:val="auto"/>
          <w:sz w:val="22"/>
        </w:rPr>
        <w:t>建筑垃圾、余方、清表土（腐殖土）等施工弃土及时清运，弃土场及运距由投标人现场考察后自行考虑报价；回填土及部分种植土等运费及上下车费及取土环保措施费施工单位自行考虑</w:t>
      </w:r>
      <w:r>
        <w:rPr>
          <w:rFonts w:hint="eastAsia" w:ascii="宋体" w:hAnsi="宋体" w:eastAsia="宋体" w:cs="宋体"/>
          <w:color w:val="auto"/>
          <w:kern w:val="0"/>
          <w:sz w:val="22"/>
          <w:lang w:val="zh-CN"/>
        </w:rPr>
        <w:t>。</w:t>
      </w:r>
    </w:p>
    <w:p w14:paraId="39C50C25">
      <w:pPr>
        <w:spacing w:line="360" w:lineRule="auto"/>
        <w:ind w:firstLine="440" w:firstLineChars="200"/>
        <w:rPr>
          <w:rFonts w:ascii="宋体" w:hAnsi="宋体" w:eastAsia="宋体" w:cs="宋体"/>
          <w:color w:val="auto"/>
          <w:sz w:val="22"/>
        </w:rPr>
      </w:pPr>
      <w:r>
        <w:rPr>
          <w:rFonts w:hint="eastAsia" w:ascii="宋体" w:hAnsi="宋体" w:eastAsia="宋体" w:cs="宋体"/>
          <w:color w:val="auto"/>
          <w:sz w:val="22"/>
        </w:rPr>
        <w:t>（8）工地现场应严格执行《南京市扬尘污染防治管理办法》的相关法律、法规，费用由投标人报价时自行考虑。</w:t>
      </w:r>
    </w:p>
    <w:p w14:paraId="0EBDBA32">
      <w:pPr>
        <w:spacing w:line="360" w:lineRule="auto"/>
        <w:ind w:firstLine="440" w:firstLineChars="200"/>
        <w:rPr>
          <w:rFonts w:ascii="宋体" w:hAnsi="宋体" w:eastAsia="宋体" w:cs="宋体"/>
          <w:color w:val="auto"/>
          <w:sz w:val="22"/>
        </w:rPr>
      </w:pPr>
      <w:r>
        <w:rPr>
          <w:rFonts w:hint="eastAsia" w:ascii="宋体" w:hAnsi="宋体" w:eastAsia="宋体" w:cs="宋体"/>
          <w:color w:val="auto"/>
          <w:sz w:val="22"/>
        </w:rPr>
        <w:t>（9）施工机械进退场及进退场所必须的临时道路费、特殊条件施工增加费、材料运输及堆放等应由投标人充分勘查现场，清单中未列的施工机械进退场费投标人自行综合考虑，费用含在投标报价中，结算</w:t>
      </w:r>
      <w:r>
        <w:rPr>
          <w:rFonts w:hint="eastAsia" w:ascii="宋体" w:hAnsi="宋体" w:eastAsia="宋体" w:cs="宋体"/>
          <w:color w:val="auto"/>
          <w:sz w:val="22"/>
          <w:lang w:val="en-US" w:eastAsia="zh-CN"/>
        </w:rPr>
        <w:t>时</w:t>
      </w:r>
      <w:r>
        <w:rPr>
          <w:rFonts w:hint="eastAsia" w:ascii="宋体" w:hAnsi="宋体" w:eastAsia="宋体" w:cs="宋体"/>
          <w:color w:val="auto"/>
          <w:sz w:val="22"/>
        </w:rPr>
        <w:t>不作调整。</w:t>
      </w:r>
    </w:p>
    <w:p w14:paraId="3BE75E30">
      <w:pPr>
        <w:spacing w:line="360" w:lineRule="auto"/>
        <w:ind w:firstLine="440" w:firstLineChars="200"/>
        <w:rPr>
          <w:rFonts w:hint="default" w:ascii="宋体" w:hAnsi="宋体" w:eastAsia="宋体" w:cs="宋体"/>
          <w:color w:val="auto"/>
          <w:sz w:val="22"/>
          <w:lang w:val="en-US" w:eastAsia="zh-CN"/>
        </w:rPr>
      </w:pPr>
      <w:r>
        <w:rPr>
          <w:rFonts w:hint="eastAsia" w:ascii="宋体" w:hAnsi="宋体" w:eastAsia="宋体" w:cs="宋体"/>
          <w:color w:val="auto"/>
          <w:sz w:val="22"/>
        </w:rPr>
        <w:t>（10）本工程施工外部协调工作由投标人负责，投标人应充分考虑周边地域情况，并将此费用考虑在投标报价中，结算时发包人不再为此增加费用。</w:t>
      </w:r>
    </w:p>
    <w:p w14:paraId="710945D0">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六、主要材料设备</w:t>
      </w:r>
    </w:p>
    <w:p w14:paraId="381E1E46">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（一）投标人负责采购的主要材料设备</w:t>
      </w:r>
    </w:p>
    <w:p w14:paraId="48F56401">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0FEB7586">
      <w:pPr>
        <w:numPr>
          <w:ilvl w:val="0"/>
          <w:numId w:val="1"/>
        </w:num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本项目主要材料品牌推荐表如下：</w:t>
      </w:r>
    </w:p>
    <w:tbl>
      <w:tblPr>
        <w:tblStyle w:val="6"/>
        <w:tblW w:w="842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7"/>
        <w:gridCol w:w="1849"/>
        <w:gridCol w:w="1237"/>
        <w:gridCol w:w="3303"/>
        <w:gridCol w:w="1522"/>
      </w:tblGrid>
      <w:tr w14:paraId="51191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4575A">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D33CF">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材料设备名称</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A7805">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推荐品牌、系列</w:t>
            </w:r>
          </w:p>
        </w:tc>
        <w:tc>
          <w:tcPr>
            <w:tcW w:w="3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6CE5F">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制造商名称</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B74CF">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0"/>
                <w:szCs w:val="20"/>
                <w:u w:val="none"/>
              </w:rPr>
            </w:pPr>
            <w:r>
              <w:rPr>
                <w:rStyle w:val="12"/>
                <w:lang w:val="en-US" w:eastAsia="zh-CN" w:bidi="ar"/>
              </w:rPr>
              <w:t>备注</w:t>
            </w:r>
          </w:p>
        </w:tc>
      </w:tr>
      <w:tr w14:paraId="20E48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1A2E1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8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C2DAB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质感漆</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A90F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三棵树</w:t>
            </w:r>
          </w:p>
        </w:tc>
        <w:tc>
          <w:tcPr>
            <w:tcW w:w="3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0B674">
            <w:pPr>
              <w:keepNext w:val="0"/>
              <w:keepLines w:val="0"/>
              <w:widowControl/>
              <w:suppressLineNumbers w:val="0"/>
              <w:spacing w:line="36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三棵树涂料股份有限公司</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2C77C">
            <w:pPr>
              <w:spacing w:line="360" w:lineRule="auto"/>
              <w:rPr>
                <w:rFonts w:hint="eastAsia" w:ascii="宋体" w:hAnsi="宋体" w:eastAsia="宋体" w:cs="宋体"/>
                <w:i w:val="0"/>
                <w:iCs w:val="0"/>
                <w:color w:val="000000"/>
                <w:sz w:val="22"/>
                <w:szCs w:val="22"/>
                <w:u w:val="none"/>
              </w:rPr>
            </w:pPr>
          </w:p>
        </w:tc>
      </w:tr>
      <w:tr w14:paraId="7C2A0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61ABC">
            <w:pPr>
              <w:spacing w:line="360" w:lineRule="auto"/>
              <w:jc w:val="center"/>
              <w:rPr>
                <w:rFonts w:hint="eastAsia" w:ascii="宋体" w:hAnsi="宋体" w:eastAsia="宋体" w:cs="宋体"/>
                <w:i w:val="0"/>
                <w:iCs w:val="0"/>
                <w:color w:val="000000"/>
                <w:sz w:val="20"/>
                <w:szCs w:val="20"/>
                <w:u w:val="none"/>
              </w:rPr>
            </w:pPr>
          </w:p>
        </w:tc>
        <w:tc>
          <w:tcPr>
            <w:tcW w:w="1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5B41A">
            <w:pPr>
              <w:spacing w:line="360" w:lineRule="auto"/>
              <w:jc w:val="center"/>
              <w:rPr>
                <w:rFonts w:hint="eastAsia" w:ascii="宋体" w:hAnsi="宋体" w:eastAsia="宋体" w:cs="宋体"/>
                <w:i w:val="0"/>
                <w:iCs w:val="0"/>
                <w:color w:val="000000"/>
                <w:sz w:val="20"/>
                <w:szCs w:val="20"/>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CD25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立邦</w:t>
            </w:r>
          </w:p>
        </w:tc>
        <w:tc>
          <w:tcPr>
            <w:tcW w:w="3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50BB0">
            <w:pPr>
              <w:keepNext w:val="0"/>
              <w:keepLines w:val="0"/>
              <w:widowControl/>
              <w:suppressLineNumbers w:val="0"/>
              <w:spacing w:line="36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立邦涂料(中国)有限公司</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FF185">
            <w:pPr>
              <w:spacing w:line="360" w:lineRule="auto"/>
              <w:rPr>
                <w:rFonts w:hint="eastAsia" w:ascii="宋体" w:hAnsi="宋体" w:eastAsia="宋体" w:cs="宋体"/>
                <w:i w:val="0"/>
                <w:iCs w:val="0"/>
                <w:color w:val="000000"/>
                <w:sz w:val="22"/>
                <w:szCs w:val="22"/>
                <w:u w:val="none"/>
              </w:rPr>
            </w:pPr>
          </w:p>
        </w:tc>
      </w:tr>
      <w:tr w14:paraId="02871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2DF87">
            <w:pPr>
              <w:spacing w:line="360" w:lineRule="auto"/>
              <w:jc w:val="center"/>
              <w:rPr>
                <w:rFonts w:hint="eastAsia" w:ascii="宋体" w:hAnsi="宋体" w:eastAsia="宋体" w:cs="宋体"/>
                <w:i w:val="0"/>
                <w:iCs w:val="0"/>
                <w:color w:val="000000"/>
                <w:sz w:val="20"/>
                <w:szCs w:val="20"/>
                <w:u w:val="none"/>
              </w:rPr>
            </w:pPr>
          </w:p>
        </w:tc>
        <w:tc>
          <w:tcPr>
            <w:tcW w:w="1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25245">
            <w:pPr>
              <w:spacing w:line="360" w:lineRule="auto"/>
              <w:jc w:val="center"/>
              <w:rPr>
                <w:rFonts w:hint="eastAsia" w:ascii="宋体" w:hAnsi="宋体" w:eastAsia="宋体" w:cs="宋体"/>
                <w:i w:val="0"/>
                <w:iCs w:val="0"/>
                <w:color w:val="000000"/>
                <w:sz w:val="20"/>
                <w:szCs w:val="20"/>
                <w:u w:val="none"/>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857A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丰彩</w:t>
            </w:r>
          </w:p>
        </w:tc>
        <w:tc>
          <w:tcPr>
            <w:tcW w:w="3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6D758">
            <w:pPr>
              <w:keepNext w:val="0"/>
              <w:keepLines w:val="0"/>
              <w:widowControl/>
              <w:suppressLineNumbers w:val="0"/>
              <w:spacing w:line="360" w:lineRule="auto"/>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江苏丰彩建材（集团）有限公司</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65A7C">
            <w:pPr>
              <w:spacing w:line="360" w:lineRule="auto"/>
              <w:rPr>
                <w:rFonts w:hint="eastAsia" w:ascii="宋体" w:hAnsi="宋体" w:eastAsia="宋体" w:cs="宋体"/>
                <w:i w:val="0"/>
                <w:iCs w:val="0"/>
                <w:color w:val="000000"/>
                <w:sz w:val="22"/>
                <w:szCs w:val="22"/>
                <w:u w:val="none"/>
              </w:rPr>
            </w:pPr>
          </w:p>
        </w:tc>
      </w:tr>
    </w:tbl>
    <w:p w14:paraId="2C05E9F8">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2、主要材料技术标准和质量要求如下：</w:t>
      </w:r>
    </w:p>
    <w:p w14:paraId="5C3E65BF">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52DBA1EB">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界面处理剂由特种细粒径的丙烯酸聚合物乳液及功能性助剂组成，可以有效加固基层强度，防止涂层的起皮脱落，非常适用旧基层的翻新处理。</w:t>
      </w:r>
    </w:p>
    <w:p w14:paraId="35C742EE">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抗裂砂浆是外墙翻新的配套，由42.5# 普通硅酸盐水泥、石英粉（70～140 目）与进口可再分散型胶粉及短切纤维和其他功能性助剂配制而成。由于有机材料的增强和增韧，该产品的粘接强度是普通腻子的的2～4 倍，同时降低了无机材料的脆性，具有良好的抗开裂、抗渗防水作用。与160g/m2 的耐碱玻璃纤维网格布配套使用，展现出更优异的抗开裂效果。</w:t>
      </w:r>
    </w:p>
    <w:p w14:paraId="0D9FFD9D">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柔性耐水腻子是一种用于多种建筑物外墙找平的改性高分子聚合物水泥基找平粉刷材料。适用于外墙外保温基面、水泥砂浆、混凝土、石膏板、加气砖墙面等各类建筑物表面。其附着力强、耐水性好、柔韧性高，能为建筑物外墙提供一个平整坚实的基面。可大大提高墙体表面的抗裂性能，从而延长了建筑物外墙涂料的寿命。</w:t>
      </w:r>
    </w:p>
    <w:p w14:paraId="6AC8F103">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FJ 高渗透封底漆具有极强的渗透力，能渗入混凝土和砂浆面的毛细孔中，与基层牢固地结合在一起，形成非常致密的防水保护膜，阻止外界水分渗入基层，能有效防止基层吐碱、泛花等弊病，封底漆的使用为面层和基层提供了一个整体性的连接，保证面层不起皮、不剥落。</w:t>
      </w:r>
    </w:p>
    <w:p w14:paraId="74AAC9B1">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仿面砖缝漆采用改性的丙烯酸乳液为成膜物质，进口金红石型钛白粉及填料、多种功能性助剂加工而成。具有优异的遮盖力和耐候性，对封闭基层碱性也有一定作用，可以有效防止质感漆的发花。</w:t>
      </w:r>
    </w:p>
    <w:p w14:paraId="7AD968D1">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FM 仿面砖质感漆是一种以特种聚合物乳液为成膜物质，精选的优质天然彩砂、石英砂和功能助剂调制成的具有抗开裂防水功能的砂壁状涂料，根据墙砖效果，建议选用40-80 目中粗砂。产品具有较好的抗开裂效果，耐候性好，装饰效果独特，能有效弥盖基层的细微裂纹，对防止外墙面渗水，延长建筑物使用寿命具有重要作用。</w:t>
      </w:r>
    </w:p>
    <w:p w14:paraId="2D40797B">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E 型罩面剂选用有机硅改性的丙烯酸乳液为成膜物质，涂膜光泽度平和自然，涂层具有优异的耐候性、耐水、耐沾污性，对仿面砖质感漆起到良好的保护作用。</w:t>
      </w:r>
    </w:p>
    <w:p w14:paraId="729CC8C3">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环保性能：底漆、仿面砖饰面砂浆、罩面剂提供符合GB18582-2020《建筑用墙面涂料中有害物质限量》技术要求。</w:t>
      </w:r>
    </w:p>
    <w:p w14:paraId="3BDD1648">
      <w:pPr>
        <w:numPr>
          <w:ilvl w:val="0"/>
          <w:numId w:val="0"/>
        </w:numPr>
        <w:spacing w:line="360" w:lineRule="auto"/>
        <w:ind w:left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3、涂料质量控制方法和验收要求</w:t>
      </w:r>
    </w:p>
    <w:p w14:paraId="645C9A9A">
      <w:pPr>
        <w:spacing w:line="360" w:lineRule="auto"/>
        <w:ind w:firstLine="440" w:firstLineChars="200"/>
        <w:rPr>
          <w:rFonts w:hint="default" w:asciiTheme="minorEastAsia" w:hAnsiTheme="minorEastAsia"/>
          <w:color w:val="auto"/>
          <w:sz w:val="22"/>
          <w:lang w:val="en-US" w:eastAsia="zh-CN"/>
        </w:rPr>
      </w:pPr>
      <w:r>
        <w:rPr>
          <w:rFonts w:hint="default" w:asciiTheme="minorEastAsia" w:hAnsiTheme="minorEastAsia"/>
          <w:color w:val="auto"/>
          <w:sz w:val="22"/>
          <w:lang w:val="en-US" w:eastAsia="zh-CN"/>
        </w:rPr>
        <w:t>本项目属于旧墙面翻新，工程实施过过程中分两个阶段:面砖铲除后经界面处理、修补找平、做完抗裂砂浆复合耐碱玻纤网抗裂层后，作为第一阶段;批柔性腻子到罩面完成为第二阶段。</w:t>
      </w:r>
    </w:p>
    <w:p w14:paraId="62950690">
      <w:pPr>
        <w:spacing w:line="360" w:lineRule="auto"/>
        <w:ind w:firstLine="440" w:firstLineChars="200"/>
        <w:rPr>
          <w:rFonts w:hint="default" w:asciiTheme="minorEastAsia" w:hAnsiTheme="minorEastAsia"/>
          <w:color w:val="auto"/>
          <w:sz w:val="22"/>
          <w:lang w:val="en-US" w:eastAsia="zh-CN"/>
        </w:rPr>
      </w:pPr>
      <w:r>
        <w:rPr>
          <w:rFonts w:hint="default" w:asciiTheme="minorEastAsia" w:hAnsiTheme="minorEastAsia"/>
          <w:color w:val="auto"/>
          <w:sz w:val="22"/>
          <w:lang w:val="en-US" w:eastAsia="zh-CN"/>
        </w:rPr>
        <w:t>第一阶段验收按照GB50210-2018《建筑装饰装修工程质量验收标准》的相关技术要求。</w:t>
      </w:r>
    </w:p>
    <w:p w14:paraId="5CF003BE">
      <w:pPr>
        <w:spacing w:line="360" w:lineRule="auto"/>
        <w:ind w:firstLine="440" w:firstLineChars="200"/>
        <w:jc w:val="center"/>
        <w:rPr>
          <w:rFonts w:hint="default" w:asciiTheme="minorEastAsia" w:hAnsiTheme="minorEastAsia"/>
          <w:color w:val="auto"/>
          <w:sz w:val="22"/>
          <w:lang w:val="en-US" w:eastAsia="zh-CN"/>
        </w:rPr>
      </w:pPr>
      <w:r>
        <w:rPr>
          <w:rFonts w:hint="default" w:asciiTheme="minorEastAsia" w:hAnsiTheme="minorEastAsia"/>
          <w:color w:val="auto"/>
          <w:sz w:val="22"/>
          <w:lang w:val="en-US" w:eastAsia="zh-CN"/>
        </w:rPr>
        <w:t>抗裂砂浆完成后允许偏差和检查方法</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2116"/>
        <w:gridCol w:w="1767"/>
        <w:gridCol w:w="3841"/>
      </w:tblGrid>
      <w:tr w14:paraId="4EEBD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dxa"/>
            <w:vAlign w:val="center"/>
          </w:tcPr>
          <w:p w14:paraId="0106A695">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序号</w:t>
            </w:r>
          </w:p>
        </w:tc>
        <w:tc>
          <w:tcPr>
            <w:tcW w:w="2116" w:type="dxa"/>
            <w:vAlign w:val="center"/>
          </w:tcPr>
          <w:p w14:paraId="48EAF8EF">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项目</w:t>
            </w:r>
          </w:p>
        </w:tc>
        <w:tc>
          <w:tcPr>
            <w:tcW w:w="1767" w:type="dxa"/>
            <w:vAlign w:val="center"/>
          </w:tcPr>
          <w:p w14:paraId="0C7BBF71">
            <w:pPr>
              <w:spacing w:line="360" w:lineRule="auto"/>
              <w:jc w:val="center"/>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允许偏差(mm)</w:t>
            </w:r>
          </w:p>
        </w:tc>
        <w:tc>
          <w:tcPr>
            <w:tcW w:w="3841" w:type="dxa"/>
            <w:vAlign w:val="center"/>
          </w:tcPr>
          <w:p w14:paraId="791F0904">
            <w:pPr>
              <w:spacing w:line="360" w:lineRule="auto"/>
              <w:jc w:val="center"/>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检查方法</w:t>
            </w:r>
          </w:p>
        </w:tc>
      </w:tr>
      <w:tr w14:paraId="5C663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dxa"/>
            <w:vAlign w:val="center"/>
          </w:tcPr>
          <w:p w14:paraId="3F434972">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1</w:t>
            </w:r>
          </w:p>
        </w:tc>
        <w:tc>
          <w:tcPr>
            <w:tcW w:w="2116" w:type="dxa"/>
            <w:vAlign w:val="center"/>
          </w:tcPr>
          <w:p w14:paraId="0D5E1913">
            <w:pPr>
              <w:spacing w:line="360" w:lineRule="auto"/>
              <w:jc w:val="center"/>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表面平整度</w:t>
            </w:r>
          </w:p>
        </w:tc>
        <w:tc>
          <w:tcPr>
            <w:tcW w:w="1767" w:type="dxa"/>
            <w:vAlign w:val="center"/>
          </w:tcPr>
          <w:p w14:paraId="4392E3AA">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4</w:t>
            </w:r>
          </w:p>
        </w:tc>
        <w:tc>
          <w:tcPr>
            <w:tcW w:w="3841" w:type="dxa"/>
            <w:vAlign w:val="center"/>
          </w:tcPr>
          <w:p w14:paraId="601EB222">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用2m靠尺和寒尺检查</w:t>
            </w:r>
          </w:p>
        </w:tc>
      </w:tr>
      <w:tr w14:paraId="3650A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dxa"/>
            <w:vAlign w:val="center"/>
          </w:tcPr>
          <w:p w14:paraId="40A40E0D">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2</w:t>
            </w:r>
          </w:p>
        </w:tc>
        <w:tc>
          <w:tcPr>
            <w:tcW w:w="2116" w:type="dxa"/>
            <w:vAlign w:val="center"/>
          </w:tcPr>
          <w:p w14:paraId="51C96733">
            <w:pPr>
              <w:spacing w:line="360" w:lineRule="auto"/>
              <w:jc w:val="center"/>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立面垂直度</w:t>
            </w:r>
            <w:r>
              <w:rPr>
                <w:rFonts w:hint="eastAsia" w:asciiTheme="minorEastAsia" w:hAnsiTheme="minorEastAsia"/>
                <w:color w:val="auto"/>
                <w:sz w:val="22"/>
                <w:vertAlign w:val="baseline"/>
                <w:lang w:val="en-US" w:eastAsia="zh-CN"/>
              </w:rPr>
              <w:t>（</w:t>
            </w:r>
            <w:r>
              <w:rPr>
                <w:rFonts w:hint="default" w:asciiTheme="minorEastAsia" w:hAnsiTheme="minorEastAsia"/>
                <w:color w:val="auto"/>
                <w:sz w:val="22"/>
                <w:vertAlign w:val="baseline"/>
                <w:lang w:val="en-US" w:eastAsia="zh-CN"/>
              </w:rPr>
              <w:t>高度</w:t>
            </w:r>
            <w:r>
              <w:rPr>
                <w:rFonts w:hint="eastAsia" w:asciiTheme="minorEastAsia" w:hAnsiTheme="minorEastAsia"/>
                <w:color w:val="auto"/>
                <w:sz w:val="22"/>
                <w:vertAlign w:val="baseline"/>
                <w:lang w:val="en-US" w:eastAsia="zh-CN"/>
              </w:rPr>
              <w:t>≤2000mm）</w:t>
            </w:r>
          </w:p>
        </w:tc>
        <w:tc>
          <w:tcPr>
            <w:tcW w:w="1767" w:type="dxa"/>
            <w:vAlign w:val="center"/>
          </w:tcPr>
          <w:p w14:paraId="179389BE">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4</w:t>
            </w:r>
          </w:p>
        </w:tc>
        <w:tc>
          <w:tcPr>
            <w:tcW w:w="3841" w:type="dxa"/>
            <w:vAlign w:val="center"/>
          </w:tcPr>
          <w:p w14:paraId="17A80EC9">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用2m垂直检测尺检查</w:t>
            </w:r>
          </w:p>
        </w:tc>
      </w:tr>
      <w:tr w14:paraId="08705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dxa"/>
            <w:vAlign w:val="center"/>
          </w:tcPr>
          <w:p w14:paraId="06072017">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3</w:t>
            </w:r>
          </w:p>
        </w:tc>
        <w:tc>
          <w:tcPr>
            <w:tcW w:w="2116" w:type="dxa"/>
            <w:vAlign w:val="center"/>
          </w:tcPr>
          <w:p w14:paraId="42C7CF0E">
            <w:pPr>
              <w:spacing w:line="360" w:lineRule="auto"/>
              <w:jc w:val="center"/>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阴阳角方正</w:t>
            </w:r>
          </w:p>
        </w:tc>
        <w:tc>
          <w:tcPr>
            <w:tcW w:w="1767" w:type="dxa"/>
            <w:vAlign w:val="center"/>
          </w:tcPr>
          <w:p w14:paraId="22E67C07">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4</w:t>
            </w:r>
          </w:p>
        </w:tc>
        <w:tc>
          <w:tcPr>
            <w:tcW w:w="3841" w:type="dxa"/>
            <w:vAlign w:val="center"/>
          </w:tcPr>
          <w:p w14:paraId="7106D6EB">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用直角检测尺检查</w:t>
            </w:r>
          </w:p>
        </w:tc>
      </w:tr>
      <w:tr w14:paraId="0C6C6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dxa"/>
            <w:vAlign w:val="center"/>
          </w:tcPr>
          <w:p w14:paraId="4B099618">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4</w:t>
            </w:r>
          </w:p>
        </w:tc>
        <w:tc>
          <w:tcPr>
            <w:tcW w:w="2116" w:type="dxa"/>
            <w:vAlign w:val="center"/>
          </w:tcPr>
          <w:p w14:paraId="06C9F17B">
            <w:pPr>
              <w:spacing w:line="360" w:lineRule="auto"/>
              <w:jc w:val="center"/>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阴阳角垂直</w:t>
            </w:r>
          </w:p>
        </w:tc>
        <w:tc>
          <w:tcPr>
            <w:tcW w:w="1767" w:type="dxa"/>
            <w:vAlign w:val="center"/>
          </w:tcPr>
          <w:p w14:paraId="317065F0">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4</w:t>
            </w:r>
          </w:p>
        </w:tc>
        <w:tc>
          <w:tcPr>
            <w:tcW w:w="3841" w:type="dxa"/>
            <w:vAlign w:val="center"/>
          </w:tcPr>
          <w:p w14:paraId="21355331">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用2m托线板检查</w:t>
            </w:r>
          </w:p>
        </w:tc>
      </w:tr>
      <w:tr w14:paraId="36C3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dxa"/>
            <w:vAlign w:val="center"/>
          </w:tcPr>
          <w:p w14:paraId="73BB0A15">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5</w:t>
            </w:r>
          </w:p>
        </w:tc>
        <w:tc>
          <w:tcPr>
            <w:tcW w:w="2116" w:type="dxa"/>
            <w:vAlign w:val="center"/>
          </w:tcPr>
          <w:p w14:paraId="34D3633B">
            <w:pPr>
              <w:spacing w:line="360" w:lineRule="auto"/>
              <w:jc w:val="center"/>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分格条(缝)直线度</w:t>
            </w:r>
          </w:p>
        </w:tc>
        <w:tc>
          <w:tcPr>
            <w:tcW w:w="1767" w:type="dxa"/>
            <w:vAlign w:val="center"/>
          </w:tcPr>
          <w:p w14:paraId="6E184BA2">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4</w:t>
            </w:r>
          </w:p>
        </w:tc>
        <w:tc>
          <w:tcPr>
            <w:tcW w:w="3841" w:type="dxa"/>
            <w:vAlign w:val="center"/>
          </w:tcPr>
          <w:p w14:paraId="1874802D">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用 5m 拉线，不足 5m 则拉通线用钢直尺检查</w:t>
            </w:r>
          </w:p>
        </w:tc>
      </w:tr>
    </w:tbl>
    <w:p w14:paraId="4A716571">
      <w:pPr>
        <w:spacing w:line="360" w:lineRule="auto"/>
        <w:ind w:firstLine="440" w:firstLineChars="200"/>
        <w:rPr>
          <w:rFonts w:hint="default" w:asciiTheme="minorEastAsia" w:hAnsiTheme="minorEastAsia"/>
          <w:color w:val="auto"/>
          <w:sz w:val="22"/>
          <w:lang w:val="en-US" w:eastAsia="zh-CN"/>
        </w:rPr>
      </w:pPr>
      <w:r>
        <w:rPr>
          <w:rFonts w:hint="default" w:asciiTheme="minorEastAsia" w:hAnsiTheme="minorEastAsia"/>
          <w:color w:val="auto"/>
          <w:sz w:val="22"/>
          <w:lang w:val="en-US" w:eastAsia="zh-CN"/>
        </w:rPr>
        <w:t>注:与旧粉刷层的粘结强度不低于0.3MPa。</w:t>
      </w:r>
    </w:p>
    <w:p w14:paraId="11C69908">
      <w:pPr>
        <w:spacing w:line="360" w:lineRule="auto"/>
        <w:ind w:firstLine="440" w:firstLineChars="200"/>
        <w:rPr>
          <w:rFonts w:hint="default" w:asciiTheme="minorEastAsia" w:hAnsiTheme="minorEastAsia"/>
          <w:color w:val="auto"/>
          <w:sz w:val="22"/>
          <w:lang w:val="en-US" w:eastAsia="zh-CN"/>
        </w:rPr>
      </w:pPr>
      <w:r>
        <w:rPr>
          <w:rFonts w:hint="default" w:asciiTheme="minorEastAsia" w:hAnsiTheme="minorEastAsia"/>
          <w:color w:val="auto"/>
          <w:sz w:val="22"/>
          <w:lang w:val="en-US" w:eastAsia="zh-CN"/>
        </w:rPr>
        <w:t>第二阶段验收根据JGJ29-2015《建筑涂饰工程施工及验收规程》要求如下:</w:t>
      </w:r>
    </w:p>
    <w:p w14:paraId="41FF85E7">
      <w:pPr>
        <w:spacing w:line="360" w:lineRule="auto"/>
        <w:ind w:firstLine="440" w:firstLineChars="200"/>
        <w:jc w:val="center"/>
        <w:rPr>
          <w:rFonts w:hint="default" w:asciiTheme="minorEastAsia" w:hAnsiTheme="minorEastAsia"/>
          <w:color w:val="auto"/>
          <w:sz w:val="22"/>
          <w:lang w:val="en-US" w:eastAsia="zh-CN"/>
        </w:rPr>
      </w:pPr>
      <w:r>
        <w:rPr>
          <w:rFonts w:hint="default" w:asciiTheme="minorEastAsia" w:hAnsiTheme="minorEastAsia"/>
          <w:color w:val="auto"/>
          <w:sz w:val="22"/>
          <w:lang w:val="en-US" w:eastAsia="zh-CN"/>
        </w:rPr>
        <w:t>仿面砖饰面砂浆涂饰工程质量要求</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4872"/>
        <w:gridCol w:w="2841"/>
      </w:tblGrid>
      <w:tr w14:paraId="7036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dxa"/>
          </w:tcPr>
          <w:p w14:paraId="437E667B">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项次</w:t>
            </w:r>
          </w:p>
        </w:tc>
        <w:tc>
          <w:tcPr>
            <w:tcW w:w="4872" w:type="dxa"/>
          </w:tcPr>
          <w:p w14:paraId="05D4AC65">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项目</w:t>
            </w:r>
          </w:p>
        </w:tc>
        <w:tc>
          <w:tcPr>
            <w:tcW w:w="2841" w:type="dxa"/>
          </w:tcPr>
          <w:p w14:paraId="7D03C77A">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普通涂饰工程</w:t>
            </w:r>
          </w:p>
        </w:tc>
      </w:tr>
      <w:tr w14:paraId="18798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dxa"/>
          </w:tcPr>
          <w:p w14:paraId="68A8A8DA">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1</w:t>
            </w:r>
          </w:p>
        </w:tc>
        <w:tc>
          <w:tcPr>
            <w:tcW w:w="4872" w:type="dxa"/>
          </w:tcPr>
          <w:p w14:paraId="2765DF4D">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反锈、掉粉、起皮</w:t>
            </w:r>
          </w:p>
        </w:tc>
        <w:tc>
          <w:tcPr>
            <w:tcW w:w="2841" w:type="dxa"/>
          </w:tcPr>
          <w:p w14:paraId="3BA68E3D">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不允许</w:t>
            </w:r>
          </w:p>
        </w:tc>
      </w:tr>
      <w:tr w14:paraId="4948F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dxa"/>
          </w:tcPr>
          <w:p w14:paraId="78270E29">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2</w:t>
            </w:r>
          </w:p>
        </w:tc>
        <w:tc>
          <w:tcPr>
            <w:tcW w:w="4872" w:type="dxa"/>
          </w:tcPr>
          <w:p w14:paraId="4FCCC0C3">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漏刷、透底</w:t>
            </w:r>
          </w:p>
        </w:tc>
        <w:tc>
          <w:tcPr>
            <w:tcW w:w="2841" w:type="dxa"/>
          </w:tcPr>
          <w:p w14:paraId="6F1DDC14">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不允许</w:t>
            </w:r>
          </w:p>
        </w:tc>
      </w:tr>
      <w:tr w14:paraId="4142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dxa"/>
          </w:tcPr>
          <w:p w14:paraId="1DDCDCFF">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3</w:t>
            </w:r>
          </w:p>
        </w:tc>
        <w:tc>
          <w:tcPr>
            <w:tcW w:w="4872" w:type="dxa"/>
          </w:tcPr>
          <w:p w14:paraId="0B5DAEA9">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反白</w:t>
            </w:r>
          </w:p>
        </w:tc>
        <w:tc>
          <w:tcPr>
            <w:tcW w:w="2841" w:type="dxa"/>
          </w:tcPr>
          <w:p w14:paraId="3EDF77FA">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不允许</w:t>
            </w:r>
          </w:p>
        </w:tc>
      </w:tr>
      <w:tr w14:paraId="2A701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dxa"/>
          </w:tcPr>
          <w:p w14:paraId="773649B2">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4</w:t>
            </w:r>
          </w:p>
        </w:tc>
        <w:tc>
          <w:tcPr>
            <w:tcW w:w="4872" w:type="dxa"/>
          </w:tcPr>
          <w:p w14:paraId="7D4534F3">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开裂</w:t>
            </w:r>
          </w:p>
        </w:tc>
        <w:tc>
          <w:tcPr>
            <w:tcW w:w="2841" w:type="dxa"/>
          </w:tcPr>
          <w:p w14:paraId="221F1529">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不允许</w:t>
            </w:r>
          </w:p>
        </w:tc>
      </w:tr>
      <w:tr w14:paraId="78C6D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dxa"/>
          </w:tcPr>
          <w:p w14:paraId="6506C574">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5</w:t>
            </w:r>
          </w:p>
        </w:tc>
        <w:tc>
          <w:tcPr>
            <w:tcW w:w="4872" w:type="dxa"/>
          </w:tcPr>
          <w:p w14:paraId="3CB3B85E">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分格线(拉5m线检查，不足5m拉通线检查)</w:t>
            </w:r>
          </w:p>
        </w:tc>
        <w:tc>
          <w:tcPr>
            <w:tcW w:w="2841" w:type="dxa"/>
          </w:tcPr>
          <w:p w14:paraId="10A3633F">
            <w:pPr>
              <w:spacing w:line="360" w:lineRule="auto"/>
              <w:jc w:val="both"/>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偏差≤</w:t>
            </w:r>
            <w:r>
              <w:rPr>
                <w:rFonts w:hint="default" w:asciiTheme="minorEastAsia" w:hAnsiTheme="minorEastAsia"/>
                <w:color w:val="auto"/>
                <w:sz w:val="22"/>
                <w:vertAlign w:val="baseline"/>
                <w:lang w:val="en-US" w:eastAsia="zh-CN"/>
              </w:rPr>
              <w:t>4mm</w:t>
            </w:r>
          </w:p>
        </w:tc>
      </w:tr>
      <w:tr w14:paraId="0526B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dxa"/>
          </w:tcPr>
          <w:p w14:paraId="416CBC3C">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6</w:t>
            </w:r>
          </w:p>
        </w:tc>
        <w:tc>
          <w:tcPr>
            <w:tcW w:w="4872" w:type="dxa"/>
          </w:tcPr>
          <w:p w14:paraId="6960EB72">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颜色</w:t>
            </w:r>
          </w:p>
        </w:tc>
        <w:tc>
          <w:tcPr>
            <w:tcW w:w="2841" w:type="dxa"/>
          </w:tcPr>
          <w:p w14:paraId="4744DC6F">
            <w:pPr>
              <w:spacing w:line="360" w:lineRule="auto"/>
              <w:jc w:val="both"/>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一致</w:t>
            </w:r>
          </w:p>
        </w:tc>
      </w:tr>
      <w:tr w14:paraId="7334D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dxa"/>
          </w:tcPr>
          <w:p w14:paraId="110621CE">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7</w:t>
            </w:r>
          </w:p>
        </w:tc>
        <w:tc>
          <w:tcPr>
            <w:tcW w:w="4872" w:type="dxa"/>
          </w:tcPr>
          <w:p w14:paraId="66AF9E97">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质感</w:t>
            </w:r>
          </w:p>
        </w:tc>
        <w:tc>
          <w:tcPr>
            <w:tcW w:w="2841" w:type="dxa"/>
          </w:tcPr>
          <w:p w14:paraId="5C7BD7FB">
            <w:pPr>
              <w:spacing w:line="360" w:lineRule="auto"/>
              <w:jc w:val="both"/>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一致</w:t>
            </w:r>
          </w:p>
        </w:tc>
      </w:tr>
      <w:tr w14:paraId="0E21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dxa"/>
          </w:tcPr>
          <w:p w14:paraId="00526DF8">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8</w:t>
            </w:r>
          </w:p>
        </w:tc>
        <w:tc>
          <w:tcPr>
            <w:tcW w:w="4872" w:type="dxa"/>
          </w:tcPr>
          <w:p w14:paraId="2F49903D">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五金、玻璃等非涂饰部位</w:t>
            </w:r>
          </w:p>
        </w:tc>
        <w:tc>
          <w:tcPr>
            <w:tcW w:w="2841" w:type="dxa"/>
          </w:tcPr>
          <w:p w14:paraId="20BCC70B">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洁净</w:t>
            </w:r>
          </w:p>
        </w:tc>
      </w:tr>
      <w:tr w14:paraId="169F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dxa"/>
          </w:tcPr>
          <w:p w14:paraId="6381AE6E">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9</w:t>
            </w:r>
          </w:p>
        </w:tc>
        <w:tc>
          <w:tcPr>
            <w:tcW w:w="4872" w:type="dxa"/>
          </w:tcPr>
          <w:p w14:paraId="16EE354A">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仿砖缝</w:t>
            </w:r>
          </w:p>
        </w:tc>
        <w:tc>
          <w:tcPr>
            <w:tcW w:w="2841" w:type="dxa"/>
          </w:tcPr>
          <w:p w14:paraId="08C2351E">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尺寸、颜色同出新改造前</w:t>
            </w:r>
          </w:p>
        </w:tc>
      </w:tr>
      <w:tr w14:paraId="29CCD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dxa"/>
          </w:tcPr>
          <w:p w14:paraId="6FAC8548">
            <w:pPr>
              <w:spacing w:line="360" w:lineRule="auto"/>
              <w:jc w:val="center"/>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10</w:t>
            </w:r>
          </w:p>
        </w:tc>
        <w:tc>
          <w:tcPr>
            <w:tcW w:w="4872" w:type="dxa"/>
          </w:tcPr>
          <w:p w14:paraId="62C9843F">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仿面砖</w:t>
            </w:r>
          </w:p>
        </w:tc>
        <w:tc>
          <w:tcPr>
            <w:tcW w:w="2841" w:type="dxa"/>
          </w:tcPr>
          <w:p w14:paraId="1BC6CC24">
            <w:p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尺寸、颜色同出新改造前</w:t>
            </w:r>
          </w:p>
        </w:tc>
      </w:tr>
    </w:tbl>
    <w:p w14:paraId="33333155">
      <w:pPr>
        <w:numPr>
          <w:ilvl w:val="0"/>
          <w:numId w:val="2"/>
        </w:numPr>
        <w:spacing w:line="360" w:lineRule="auto"/>
        <w:ind w:firstLine="440" w:firstLineChars="200"/>
        <w:jc w:val="both"/>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材料消耗量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463"/>
        <w:gridCol w:w="3219"/>
      </w:tblGrid>
      <w:tr w14:paraId="683B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132B0795">
            <w:pPr>
              <w:numPr>
                <w:ilvl w:val="0"/>
                <w:numId w:val="0"/>
              </w:numPr>
              <w:spacing w:line="360" w:lineRule="auto"/>
              <w:jc w:val="both"/>
              <w:rPr>
                <w:rFonts w:hint="default" w:asciiTheme="minorEastAsia" w:hAnsiTheme="minorEastAsia"/>
                <w:color w:val="auto"/>
                <w:sz w:val="22"/>
                <w:vertAlign w:val="baseline"/>
                <w:lang w:val="en-US" w:eastAsia="zh-CN"/>
              </w:rPr>
            </w:pPr>
            <w:r>
              <w:rPr>
                <w:rFonts w:hint="eastAsia" w:asciiTheme="minorEastAsia" w:hAnsiTheme="minorEastAsia"/>
                <w:color w:val="auto"/>
                <w:sz w:val="22"/>
                <w:vertAlign w:val="baseline"/>
                <w:lang w:val="en-US" w:eastAsia="zh-CN"/>
              </w:rPr>
              <w:t>项目</w:t>
            </w:r>
          </w:p>
        </w:tc>
        <w:tc>
          <w:tcPr>
            <w:tcW w:w="2463" w:type="dxa"/>
          </w:tcPr>
          <w:p w14:paraId="53056C6C">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用量(kg/m</w:t>
            </w:r>
            <w:r>
              <w:rPr>
                <w:rFonts w:hint="eastAsia" w:asciiTheme="minorEastAsia" w:hAnsiTheme="minorEastAsia"/>
                <w:color w:val="auto"/>
                <w:sz w:val="22"/>
                <w:vertAlign w:val="baseline"/>
                <w:lang w:val="en-US" w:eastAsia="zh-CN"/>
              </w:rPr>
              <w:t>²</w:t>
            </w:r>
            <w:r>
              <w:rPr>
                <w:rFonts w:hint="default" w:asciiTheme="minorEastAsia" w:hAnsiTheme="minorEastAsia"/>
                <w:color w:val="auto"/>
                <w:sz w:val="22"/>
                <w:vertAlign w:val="baseline"/>
                <w:lang w:val="en-US" w:eastAsia="zh-CN"/>
              </w:rPr>
              <w:t>)</w:t>
            </w:r>
          </w:p>
        </w:tc>
        <w:tc>
          <w:tcPr>
            <w:tcW w:w="3219" w:type="dxa"/>
          </w:tcPr>
          <w:p w14:paraId="1C29148F">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施工遍数</w:t>
            </w:r>
          </w:p>
        </w:tc>
      </w:tr>
      <w:tr w14:paraId="2391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06A37DA">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柔性腻子</w:t>
            </w:r>
          </w:p>
        </w:tc>
        <w:tc>
          <w:tcPr>
            <w:tcW w:w="2463" w:type="dxa"/>
          </w:tcPr>
          <w:p w14:paraId="6AEC59D4">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2.0-2.5</w:t>
            </w:r>
          </w:p>
        </w:tc>
        <w:tc>
          <w:tcPr>
            <w:tcW w:w="3219" w:type="dxa"/>
          </w:tcPr>
          <w:p w14:paraId="2BCCE775">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2 遍</w:t>
            </w:r>
          </w:p>
        </w:tc>
      </w:tr>
      <w:tr w14:paraId="1501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28CCEF03">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抗渗透封底漆</w:t>
            </w:r>
          </w:p>
        </w:tc>
        <w:tc>
          <w:tcPr>
            <w:tcW w:w="2463" w:type="dxa"/>
          </w:tcPr>
          <w:p w14:paraId="14B9E81D">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0.12-0.15</w:t>
            </w:r>
          </w:p>
        </w:tc>
        <w:tc>
          <w:tcPr>
            <w:tcW w:w="3219" w:type="dxa"/>
          </w:tcPr>
          <w:p w14:paraId="3272BFDB">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1遍</w:t>
            </w:r>
          </w:p>
        </w:tc>
      </w:tr>
      <w:tr w14:paraId="160E1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645D49EB">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仿面砖饰面砂浆漆</w:t>
            </w:r>
          </w:p>
        </w:tc>
        <w:tc>
          <w:tcPr>
            <w:tcW w:w="2463" w:type="dxa"/>
          </w:tcPr>
          <w:p w14:paraId="6B1A1D42">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2.0-3.5</w:t>
            </w:r>
          </w:p>
        </w:tc>
        <w:tc>
          <w:tcPr>
            <w:tcW w:w="3219" w:type="dxa"/>
          </w:tcPr>
          <w:p w14:paraId="45890911">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2遍(根据涂装方式和表面质感)</w:t>
            </w:r>
          </w:p>
        </w:tc>
      </w:tr>
      <w:tr w14:paraId="7CF7B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18AA17F3">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罩面漆</w:t>
            </w:r>
          </w:p>
        </w:tc>
        <w:tc>
          <w:tcPr>
            <w:tcW w:w="2463" w:type="dxa"/>
          </w:tcPr>
          <w:p w14:paraId="0C623147">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0.1-0.18</w:t>
            </w:r>
          </w:p>
        </w:tc>
        <w:tc>
          <w:tcPr>
            <w:tcW w:w="3219" w:type="dxa"/>
          </w:tcPr>
          <w:p w14:paraId="0D9D9E1A">
            <w:pPr>
              <w:numPr>
                <w:ilvl w:val="0"/>
                <w:numId w:val="0"/>
              </w:numPr>
              <w:spacing w:line="360" w:lineRule="auto"/>
              <w:jc w:val="both"/>
              <w:rPr>
                <w:rFonts w:hint="default" w:asciiTheme="minorEastAsia" w:hAnsiTheme="minorEastAsia"/>
                <w:color w:val="auto"/>
                <w:sz w:val="22"/>
                <w:vertAlign w:val="baseline"/>
                <w:lang w:val="en-US" w:eastAsia="zh-CN"/>
              </w:rPr>
            </w:pPr>
            <w:r>
              <w:rPr>
                <w:rFonts w:hint="default" w:asciiTheme="minorEastAsia" w:hAnsiTheme="minorEastAsia"/>
                <w:color w:val="auto"/>
                <w:sz w:val="22"/>
                <w:vertAlign w:val="baseline"/>
                <w:lang w:val="en-US" w:eastAsia="zh-CN"/>
              </w:rPr>
              <w:t>l遍</w:t>
            </w:r>
          </w:p>
        </w:tc>
      </w:tr>
    </w:tbl>
    <w:p w14:paraId="113368AA">
      <w:pPr>
        <w:numPr>
          <w:ilvl w:val="0"/>
          <w:numId w:val="2"/>
        </w:numPr>
        <w:spacing w:line="360" w:lineRule="auto"/>
        <w:ind w:left="0" w:leftChars="0" w:firstLine="440" w:firstLineChars="200"/>
        <w:jc w:val="both"/>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其他要求</w:t>
      </w:r>
    </w:p>
    <w:p w14:paraId="1658C157">
      <w:pPr>
        <w:spacing w:line="360" w:lineRule="auto"/>
        <w:ind w:firstLine="440" w:firstLineChars="200"/>
        <w:rPr>
          <w:rFonts w:hint="default" w:asciiTheme="minorEastAsia" w:hAnsiTheme="minorEastAsia"/>
          <w:color w:val="auto"/>
          <w:sz w:val="22"/>
          <w:lang w:val="en-US" w:eastAsia="zh-CN"/>
        </w:rPr>
      </w:pPr>
      <w:r>
        <w:rPr>
          <w:rFonts w:hint="default" w:asciiTheme="minorEastAsia" w:hAnsiTheme="minorEastAsia"/>
          <w:color w:val="auto"/>
          <w:sz w:val="22"/>
          <w:lang w:val="en-US" w:eastAsia="zh-CN"/>
        </w:rPr>
        <w:t>1)投标人应确保施工面与屋面檐口交接口处的美观过渡衔接，交接口处应做好防水处理以预防成品被雨水渗透或吐碱。</w:t>
      </w:r>
    </w:p>
    <w:p w14:paraId="28ABB52C">
      <w:pPr>
        <w:spacing w:line="360" w:lineRule="auto"/>
        <w:ind w:firstLine="440" w:firstLineChars="200"/>
        <w:rPr>
          <w:rFonts w:hint="default" w:asciiTheme="minorEastAsia" w:hAnsiTheme="minorEastAsia"/>
          <w:color w:val="auto"/>
          <w:sz w:val="22"/>
          <w:lang w:val="en-US" w:eastAsia="zh-CN"/>
        </w:rPr>
      </w:pPr>
      <w:r>
        <w:rPr>
          <w:rFonts w:hint="default" w:asciiTheme="minorEastAsia" w:hAnsiTheme="minorEastAsia"/>
          <w:color w:val="auto"/>
          <w:sz w:val="22"/>
          <w:lang w:val="en-US" w:eastAsia="zh-CN"/>
        </w:rPr>
        <w:t>2)</w:t>
      </w:r>
      <w:r>
        <w:rPr>
          <w:rFonts w:hint="eastAsia" w:asciiTheme="minorEastAsia" w:hAnsiTheme="minorEastAsia"/>
          <w:color w:val="auto"/>
          <w:sz w:val="22"/>
          <w:lang w:val="en-US" w:eastAsia="zh-CN"/>
        </w:rPr>
        <w:t>中</w:t>
      </w:r>
      <w:r>
        <w:rPr>
          <w:rFonts w:hint="default" w:asciiTheme="minorEastAsia" w:hAnsiTheme="minorEastAsia"/>
          <w:color w:val="auto"/>
          <w:sz w:val="22"/>
          <w:lang w:val="en-US" w:eastAsia="zh-CN"/>
        </w:rPr>
        <w:t>标人</w:t>
      </w:r>
      <w:r>
        <w:rPr>
          <w:rFonts w:hint="eastAsia" w:asciiTheme="minorEastAsia" w:hAnsiTheme="minorEastAsia"/>
          <w:color w:val="auto"/>
          <w:sz w:val="22"/>
          <w:lang w:val="en-US" w:eastAsia="zh-CN"/>
        </w:rPr>
        <w:t>进场前</w:t>
      </w:r>
      <w:r>
        <w:rPr>
          <w:rFonts w:hint="default" w:asciiTheme="minorEastAsia" w:hAnsiTheme="minorEastAsia"/>
          <w:color w:val="auto"/>
          <w:sz w:val="22"/>
          <w:lang w:val="en-US" w:eastAsia="zh-CN"/>
        </w:rPr>
        <w:t>需提供仿面砖饰面砂浆施工退层板(基层、界面剂层、抗裂砂浆层、柔性腻子找平层、抗渗透底漆层、面砖缝层、面砖质感层、罩面剂层)样品一块作为样品。各施工层应使用规范汉字清晰标注并标明施工遍数。</w:t>
      </w:r>
    </w:p>
    <w:p w14:paraId="29FE05C6">
      <w:pPr>
        <w:spacing w:line="360" w:lineRule="auto"/>
        <w:ind w:firstLine="440" w:firstLineChars="200"/>
        <w:rPr>
          <w:rFonts w:hint="default" w:asciiTheme="minorEastAsia" w:hAnsiTheme="minorEastAsia"/>
          <w:color w:val="auto"/>
          <w:sz w:val="22"/>
          <w:lang w:val="en-US" w:eastAsia="zh-CN"/>
        </w:rPr>
      </w:pPr>
      <w:r>
        <w:rPr>
          <w:rFonts w:hint="default" w:asciiTheme="minorEastAsia" w:hAnsiTheme="minorEastAsia"/>
          <w:color w:val="auto"/>
          <w:sz w:val="22"/>
          <w:lang w:val="en-US" w:eastAsia="zh-CN"/>
        </w:rPr>
        <w:t>3)中标人进场前需在施工楼栋的外墙面上，就面层和缝层试施工约1平方米进行调色，面砖缝层和面砖质感层的质感和颜色应尽可能接近施工现场原砖缝和面砖的质感和颜色，直至符合甲方要求方可大面积施工，调色时间计入总工期。</w:t>
      </w:r>
    </w:p>
    <w:p w14:paraId="7A42F5C5">
      <w:pPr>
        <w:widowControl/>
        <w:shd w:val="clear" w:color="auto" w:fill="FFFFFF"/>
        <w:spacing w:line="360" w:lineRule="auto"/>
        <w:ind w:firstLine="422" w:firstLineChars="200"/>
        <w:jc w:val="left"/>
        <w:rPr>
          <w:rFonts w:hint="eastAsia" w:ascii="宋体" w:hAnsi="宋体" w:cs="宋体"/>
          <w:b/>
          <w:color w:val="auto"/>
          <w:kern w:val="0"/>
          <w:szCs w:val="21"/>
        </w:rPr>
      </w:pPr>
      <w:r>
        <w:rPr>
          <w:rFonts w:hint="eastAsia" w:ascii="宋体" w:hAnsi="宋体" w:cs="宋体"/>
          <w:b/>
          <w:color w:val="auto"/>
          <w:kern w:val="0"/>
          <w:szCs w:val="21"/>
          <w:lang w:val="en-US" w:eastAsia="zh-CN"/>
        </w:rPr>
        <w:t>6</w:t>
      </w:r>
      <w:r>
        <w:rPr>
          <w:rFonts w:hint="eastAsia" w:ascii="宋体" w:hAnsi="宋体" w:cs="宋体"/>
          <w:b/>
          <w:color w:val="auto"/>
          <w:kern w:val="0"/>
          <w:szCs w:val="21"/>
        </w:rPr>
        <w:t>、本工程所有由投标单位自行采购的材料设备的质保期不得低于工程质量保修期（自工程竣工验收合格之日起2年），部分材料设备质保期要求高于质量保修期且投标人响应的，须提供相应承诺书。</w:t>
      </w:r>
    </w:p>
    <w:p w14:paraId="0266C736">
      <w:pPr>
        <w:spacing w:line="360" w:lineRule="auto"/>
        <w:ind w:firstLine="442" w:firstLineChars="200"/>
        <w:rPr>
          <w:rFonts w:hint="eastAsia" w:asciiTheme="minorEastAsia" w:hAnsiTheme="minorEastAsia"/>
          <w:b/>
          <w:color w:val="auto"/>
          <w:sz w:val="22"/>
        </w:rPr>
      </w:pPr>
      <w:r>
        <w:rPr>
          <w:rFonts w:hint="eastAsia" w:asciiTheme="minorEastAsia" w:hAnsiTheme="minorEastAsia"/>
          <w:b/>
          <w:color w:val="auto"/>
          <w:sz w:val="22"/>
          <w:lang w:val="en-US" w:eastAsia="zh-CN"/>
        </w:rPr>
        <w:t>七</w:t>
      </w:r>
      <w:r>
        <w:rPr>
          <w:rFonts w:hint="eastAsia" w:asciiTheme="minorEastAsia" w:hAnsiTheme="minorEastAsia"/>
          <w:b/>
          <w:color w:val="auto"/>
          <w:sz w:val="22"/>
        </w:rPr>
        <w:t>、施工工艺及要求：</w:t>
      </w:r>
    </w:p>
    <w:p w14:paraId="661B8003">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1、脚手架搭拆和成品保护</w:t>
      </w:r>
    </w:p>
    <w:p w14:paraId="210EFCBA">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本项目属于已投入使用建筑外墙的翻新，面砖需要彻底凿除并清理干净，为了避免在翻新过程中所可能发生的意外伤害，建议在改造过程中，将出入口进行封闭围挡。在施工过程中，设置临时的警戒线，在脚手架搭设过程中做好安全防护措施。</w:t>
      </w:r>
    </w:p>
    <w:p w14:paraId="26C00A63">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设备平台洞口采用密目网保护，铝合金穿孔板采用发泡聚乙烯保护，采光玻璃顶采用EPS 保温板复合板保护。</w:t>
      </w:r>
    </w:p>
    <w:p w14:paraId="05EAD81E">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待外墙仿砖涂料和所有出新工作施工完成后，组织三方验收合格后，进行脚手架拆除作业，拆除过程中注意对墙面、门窗、栏杆百叶和周围绿化、地面的成品保护工作。</w:t>
      </w:r>
    </w:p>
    <w:p w14:paraId="5713AB9C">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2、基层处理</w:t>
      </w:r>
    </w:p>
    <w:p w14:paraId="6C5B340F">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本项目属于旧墙翻新，工程实施过程中分两个阶段：面砖铲除后经界面处理、空鼓切割凿除并修补找平、做完抗裂砂浆复合耐碱玻纤网抗裂层后，作为第一阶段；批柔性腻子到罩面完成为第二阶段。第一阶段是本项目的主要工作，面砖的凿除从上到下进行，在凿除过程中，残留在粉刷层表面的粘结砂浆也要彻底清除。如果面砖凿除的破坏界面大比例发生在粘结砂浆与粉刷层之间，必须评估下粉刷层与基层的粘结强度，不低于0.3MPa。对破坏较大的墙面先用聚合物水泥砂浆修补。空鼓处理：安排人员使用空鼓锤逐一检查墙面，将空鼓部位标记，然后安排人员将空鼓部位切除，切除清理干净后用10 厚抗裂砂浆+钢丝网片分层修补、找平。</w:t>
      </w:r>
    </w:p>
    <w:p w14:paraId="6D0999CA">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3、辊涂高渗透界面处理剂</w:t>
      </w:r>
    </w:p>
    <w:p w14:paraId="55BD197F">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对修补、清洁好的基层滚涂高渗透界面处理剂，主要的目的是进一步加固基层，该产品施工便利，不需要加水稀释，搅拌均匀，用滚筒涂刷,滚涂时应用力一致，均匀涂布，防止漏涂。</w:t>
      </w:r>
    </w:p>
    <w:p w14:paraId="586BD0C3">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4、窗上洞口滴水线设置。</w:t>
      </w:r>
    </w:p>
    <w:p w14:paraId="2FB18A0A">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小窗外框由于距离外墙较近，为了防止雨水倒流，在窗洞上口设置用成品滴水线条，仿面砖涂料完成后，重新打外窗框的硅酮密封胶。</w:t>
      </w:r>
    </w:p>
    <w:p w14:paraId="758777D4">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5、批刮耐碱网格布复合抗裂砂浆的抗裂层</w:t>
      </w:r>
    </w:p>
    <w:p w14:paraId="68AF02F4">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抗裂砂浆是一种单组分包装，粘结强度大，抗裂性好的基层找平材料。施工时，将干料与水按4：1 进行混合。搅拌混合均匀后稍微熟化，然后进行批刮。产品应现用现配，尽量在2 小时内用完，否则会造成配好的料变稠，批刮时易出现打卷等缺陷，严重的会使配好的料凝固、结块，造成不必要的浪费。</w:t>
      </w:r>
    </w:p>
    <w:p w14:paraId="72D8C9C9">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抗裂砂浆分2 遍进行逐层批刮，首先批一遍5mm 厚，压入耐碱网格布，网格布的搭接不小于80mm,稍干燥后，再批一道，总厚度控制在3-5mm 左右，使基层达到平整、坚固，具备做仿面砖涂层的条件。</w:t>
      </w:r>
    </w:p>
    <w:p w14:paraId="51BA4BE3">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6、柔性腻子的施工</w:t>
      </w:r>
    </w:p>
    <w:p w14:paraId="72840BFC">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批刮腻子应使用抹子、刮板或油灰刀进行施工，从上而下批刮，腻子层不宜批刮过厚，每遍不超过1.5mm，腻子批刮2-3 遍，每遍腻子间隔时间不能过短，一定要等第一遍腻子干燥后，再批下一道腻子，用中砂纸打磨腻子错接缝处，至大面平整为止。每平方米柔性腻子用量根据基层平整度的不同为2.5-3.5 ㎏/m2。</w:t>
      </w:r>
    </w:p>
    <w:p w14:paraId="171263F7">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7、FJ 高渗透底漆的施工</w:t>
      </w:r>
    </w:p>
    <w:p w14:paraId="7C898A6A">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在满足施工条件的基层上滚涂FJ 高渗透底漆，先选用漆刷先涂刷阴角处，然后用滚筒涂</w:t>
      </w:r>
    </w:p>
    <w:p w14:paraId="1776A58F">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刷大面，不得漏刷。底漆用量为0.12-0.15 ㎏/m2（一遍），本产品不需要加水稀释，搅拌均匀后可以直接使用。</w:t>
      </w:r>
    </w:p>
    <w:p w14:paraId="263E113D">
      <w:pPr>
        <w:numPr>
          <w:ilvl w:val="0"/>
          <w:numId w:val="3"/>
        </w:num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滚涂FM 仿面砖缝漆弹线贴定厚胶带</w:t>
      </w:r>
    </w:p>
    <w:p w14:paraId="0D5E2A38">
      <w:pPr>
        <w:numPr>
          <w:ilvl w:val="0"/>
          <w:numId w:val="0"/>
        </w:num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开桶搅匀后直接使用，选用漆刷先涂刷阴角处，然后用滚筒涂刷大面，要求不流挂、不漏刷、涂刷均匀。用量为0.15-0.18 ㎏/m2（一遍），根据天气温度高低，可加入5-10%的清水进行稀释。缝漆干燥后，按原面砖的40*280mm 进行排版，于涂层上采用墨斗（进行弹线，要求弹线清晰、平直；用8mm 定厚胶带根据弹线粘贴在仿面砖缝漆上。按照原有面砖的颜色，不同的部位刷不同的分缝漆。</w:t>
      </w:r>
    </w:p>
    <w:p w14:paraId="792AF44A">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9、FM 仿面砖质感涂料的施工</w:t>
      </w:r>
    </w:p>
    <w:p w14:paraId="260A5287">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FM 仿面砖质感涂料工前必须将材料搅拌均匀，根据确认样板效果确定施工的方式，采用喷涂方式进行施工，选择喷枪枪嘴为6mm，空气压缩机气压为6-8 个大气压，在喷涂前先将真石漆搅拌均匀，装料试喷，定好气嘴和枪嘴的距离。枪嘴离墙面一般为40-50cm，调节好后即可大面积喷涂，自上而下，自左而右交替均匀喷涂，连接施工，分隔处可停顿，一般采用两遍成活的工艺，第一遍可喷涂得薄一点，稍微能够遮盖基层即可，第二遍可稍喷厚一点，展现出仿砖质感效果的凹凸的浮点效果，两遍的间隔不要太长，每平方米耗料量控制在4-5 公斤左右为宜，喷完后，立即揭开胶布。涂层干燥后，表面轻磨，去处表面浮砂。</w:t>
      </w:r>
    </w:p>
    <w:p w14:paraId="5700144B">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10、水性罩面剂的施工</w:t>
      </w:r>
    </w:p>
    <w:p w14:paraId="20D89C76">
      <w:pPr>
        <w:spacing w:line="360" w:lineRule="auto"/>
        <w:ind w:firstLine="440" w:firstLineChars="200"/>
        <w:rPr>
          <w:rFonts w:hint="eastAsia" w:asciiTheme="minorEastAsia" w:hAnsiTheme="minorEastAsia"/>
          <w:b/>
          <w:bCs/>
          <w:color w:val="auto"/>
          <w:sz w:val="22"/>
          <w:lang w:val="en-US" w:eastAsia="zh-CN"/>
        </w:rPr>
      </w:pPr>
      <w:r>
        <w:rPr>
          <w:rFonts w:hint="eastAsia" w:asciiTheme="minorEastAsia" w:hAnsiTheme="minorEastAsia"/>
          <w:color w:val="auto"/>
          <w:sz w:val="22"/>
          <w:lang w:val="en-US" w:eastAsia="zh-CN"/>
        </w:rPr>
        <w:t>在仿面砖涂层完全干燥后，及时滚涂/喷涂水性罩面剂一遍，水性罩面剂用量为0.12-0.15㎏/m2（一遍），罩面剂喷涂需均匀一致，防止因喷涂不均匀导致的发花现象。</w:t>
      </w:r>
    </w:p>
    <w:p w14:paraId="2F63F41B">
      <w:pPr>
        <w:numPr>
          <w:ilvl w:val="0"/>
          <w:numId w:val="0"/>
        </w:numPr>
        <w:spacing w:line="360" w:lineRule="auto"/>
        <w:rPr>
          <w:rFonts w:asciiTheme="minorEastAsia" w:hAnsiTheme="minorEastAsia"/>
          <w:b/>
          <w:color w:val="auto"/>
          <w:sz w:val="22"/>
        </w:rPr>
      </w:pPr>
      <w:r>
        <w:rPr>
          <w:rFonts w:hint="eastAsia" w:asciiTheme="minorEastAsia" w:hAnsiTheme="minorEastAsia"/>
          <w:b/>
          <w:color w:val="auto"/>
          <w:sz w:val="22"/>
          <w:lang w:val="en-US" w:eastAsia="zh-CN"/>
        </w:rPr>
        <w:t>八</w:t>
      </w:r>
      <w:r>
        <w:rPr>
          <w:rFonts w:hint="eastAsia" w:asciiTheme="minorEastAsia" w:hAnsiTheme="minorEastAsia"/>
          <w:b/>
          <w:color w:val="auto"/>
          <w:sz w:val="22"/>
        </w:rPr>
        <w:t>、其他说明</w:t>
      </w:r>
    </w:p>
    <w:p w14:paraId="4E6E8993">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r>
        <w:rPr>
          <w:rFonts w:hint="eastAsia" w:asciiTheme="minorEastAsia" w:hAnsiTheme="minorEastAsia"/>
          <w:color w:val="auto"/>
          <w:sz w:val="22"/>
          <w:lang w:val="en-US" w:eastAsia="zh-CN"/>
        </w:rPr>
        <w:t>拆除并</w:t>
      </w:r>
      <w:r>
        <w:rPr>
          <w:rFonts w:hint="eastAsia" w:asciiTheme="minorEastAsia" w:hAnsiTheme="minorEastAsia"/>
          <w:color w:val="auto"/>
          <w:sz w:val="22"/>
        </w:rPr>
        <w:t>恢复原样。</w:t>
      </w:r>
    </w:p>
    <w:p w14:paraId="61390D2D">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14:paraId="3DF30845">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3、工程量清单报价应包括完成招标文件规定的工程量清单项目所需的全部费用，其内含：</w:t>
      </w:r>
    </w:p>
    <w:p w14:paraId="0E977F3F">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①包括分部分项工程费、措施费、其它项目费和规费、税金；</w:t>
      </w:r>
    </w:p>
    <w:p w14:paraId="2A78A50F">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②包括完成每分部分项工程所含全部工程内容的费用；</w:t>
      </w:r>
    </w:p>
    <w:p w14:paraId="4FB8E5E9">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③包括完成每项工程内容所需的全部费用；</w:t>
      </w:r>
    </w:p>
    <w:p w14:paraId="576F14A7">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④工程量清单项目中没有体现的，施工中又必须发生的工程内容所需的费用；</w:t>
      </w:r>
    </w:p>
    <w:p w14:paraId="70F38630">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⑤考虑风险因素而调整的费用；</w:t>
      </w:r>
    </w:p>
    <w:p w14:paraId="7B1953FF">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⑥因招标人在招标文件中的要求而发生的费用。</w:t>
      </w:r>
    </w:p>
    <w:p w14:paraId="102FECC6">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14:paraId="2C83CC0F">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5、</w:t>
      </w:r>
      <w:r>
        <w:rPr>
          <w:rFonts w:hint="eastAsia" w:asciiTheme="minorEastAsia" w:hAnsiTheme="minorEastAsia"/>
          <w:color w:val="auto"/>
          <w:sz w:val="22"/>
          <w:lang w:val="en-US" w:eastAsia="zh-CN"/>
        </w:rPr>
        <w:t>各</w:t>
      </w:r>
      <w:r>
        <w:rPr>
          <w:rFonts w:hint="eastAsia" w:asciiTheme="minorEastAsia" w:hAnsiTheme="minorEastAsia"/>
          <w:color w:val="auto"/>
          <w:sz w:val="22"/>
        </w:rPr>
        <w:t>投标人</w:t>
      </w:r>
      <w:r>
        <w:rPr>
          <w:rFonts w:hint="eastAsia" w:asciiTheme="minorEastAsia" w:hAnsiTheme="minorEastAsia"/>
          <w:color w:val="auto"/>
          <w:sz w:val="22"/>
          <w:lang w:val="en-US" w:eastAsia="zh-CN"/>
        </w:rPr>
        <w:t>需</w:t>
      </w:r>
      <w:r>
        <w:rPr>
          <w:rFonts w:hint="eastAsia" w:asciiTheme="minorEastAsia" w:hAnsiTheme="minorEastAsia"/>
          <w:color w:val="auto"/>
          <w:sz w:val="22"/>
        </w:rPr>
        <w:t>充分勘察现场，</w:t>
      </w:r>
      <w:r>
        <w:rPr>
          <w:rFonts w:hint="eastAsia" w:asciiTheme="minorEastAsia" w:hAnsiTheme="minorEastAsia"/>
          <w:color w:val="auto"/>
          <w:sz w:val="22"/>
          <w:lang w:val="en-US" w:eastAsia="zh-CN"/>
        </w:rPr>
        <w:t>综合</w:t>
      </w:r>
      <w:r>
        <w:rPr>
          <w:rFonts w:hint="eastAsia" w:asciiTheme="minorEastAsia" w:hAnsiTheme="minorEastAsia"/>
          <w:color w:val="auto"/>
          <w:sz w:val="22"/>
        </w:rPr>
        <w:t>考虑现场施工难度以及树木保护的费用，如</w:t>
      </w:r>
      <w:r>
        <w:rPr>
          <w:rFonts w:hint="eastAsia" w:asciiTheme="minorEastAsia" w:hAnsiTheme="minorEastAsia"/>
          <w:color w:val="auto"/>
          <w:sz w:val="22"/>
          <w:lang w:val="en-US" w:eastAsia="zh-CN"/>
        </w:rPr>
        <w:t>树</w:t>
      </w:r>
      <w:r>
        <w:rPr>
          <w:rFonts w:hint="eastAsia" w:asciiTheme="minorEastAsia" w:hAnsiTheme="minorEastAsia"/>
          <w:color w:val="auto"/>
          <w:sz w:val="22"/>
        </w:rPr>
        <w:t>木保护措施困难，可考虑更换措施费用，结算时不予调整。</w:t>
      </w:r>
    </w:p>
    <w:p w14:paraId="25C00DE8">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lang w:val="en-US" w:eastAsia="zh-CN"/>
        </w:rPr>
        <w:t>6、</w:t>
      </w:r>
      <w:r>
        <w:rPr>
          <w:rFonts w:hint="eastAsia" w:asciiTheme="minorEastAsia" w:hAnsiTheme="minorEastAsia"/>
          <w:color w:val="auto"/>
          <w:sz w:val="22"/>
        </w:rPr>
        <w:t>若设计图纸、招标文件中相关条款及清单描述有冲突的，投标人应在“澄清答疑”环节中向招标人提出，招标人将在“澄清答疑”环节中答复；投标人未在“澄清答疑”环节提出的，则最终解释权归属于招标人。</w:t>
      </w:r>
    </w:p>
    <w:p w14:paraId="163EFAD1">
      <w:pPr>
        <w:spacing w:line="360" w:lineRule="auto"/>
        <w:ind w:firstLine="440" w:firstLineChars="200"/>
        <w:rPr>
          <w:color w:val="auto"/>
          <w:sz w:val="22"/>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EB0AAE"/>
    <w:multiLevelType w:val="singleLevel"/>
    <w:tmpl w:val="8DEB0AAE"/>
    <w:lvl w:ilvl="0" w:tentative="0">
      <w:start w:val="8"/>
      <w:numFmt w:val="decimal"/>
      <w:suff w:val="nothing"/>
      <w:lvlText w:val="%1、"/>
      <w:lvlJc w:val="left"/>
    </w:lvl>
  </w:abstractNum>
  <w:abstractNum w:abstractNumId="1">
    <w:nsid w:val="D6B47C46"/>
    <w:multiLevelType w:val="singleLevel"/>
    <w:tmpl w:val="D6B47C46"/>
    <w:lvl w:ilvl="0" w:tentative="0">
      <w:start w:val="1"/>
      <w:numFmt w:val="decimal"/>
      <w:suff w:val="nothing"/>
      <w:lvlText w:val="%1、"/>
      <w:lvlJc w:val="left"/>
    </w:lvl>
  </w:abstractNum>
  <w:abstractNum w:abstractNumId="2">
    <w:nsid w:val="177AE5FE"/>
    <w:multiLevelType w:val="singleLevel"/>
    <w:tmpl w:val="177AE5FE"/>
    <w:lvl w:ilvl="0" w:tentative="0">
      <w:start w:val="4"/>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I2ZmIyOTdjMDNhNzllNjM3ODkwZmM3OTY3ZDgzMzYifQ=="/>
  </w:docVars>
  <w:rsids>
    <w:rsidRoot w:val="00172A27"/>
    <w:rsid w:val="000918CE"/>
    <w:rsid w:val="000B4442"/>
    <w:rsid w:val="000E4EFC"/>
    <w:rsid w:val="000F0F71"/>
    <w:rsid w:val="00110532"/>
    <w:rsid w:val="0018274C"/>
    <w:rsid w:val="00182CF0"/>
    <w:rsid w:val="001918E0"/>
    <w:rsid w:val="001E4483"/>
    <w:rsid w:val="002227D3"/>
    <w:rsid w:val="002365A9"/>
    <w:rsid w:val="00261507"/>
    <w:rsid w:val="002C7843"/>
    <w:rsid w:val="002F4B81"/>
    <w:rsid w:val="0035412E"/>
    <w:rsid w:val="00365827"/>
    <w:rsid w:val="00394EF6"/>
    <w:rsid w:val="003B5E79"/>
    <w:rsid w:val="003E6A22"/>
    <w:rsid w:val="00403F89"/>
    <w:rsid w:val="00480D2C"/>
    <w:rsid w:val="004D0895"/>
    <w:rsid w:val="005136AA"/>
    <w:rsid w:val="0052678C"/>
    <w:rsid w:val="00531B35"/>
    <w:rsid w:val="00591850"/>
    <w:rsid w:val="005A65A1"/>
    <w:rsid w:val="005C1C94"/>
    <w:rsid w:val="006076DB"/>
    <w:rsid w:val="00640023"/>
    <w:rsid w:val="006C1D24"/>
    <w:rsid w:val="007216EE"/>
    <w:rsid w:val="007E10E0"/>
    <w:rsid w:val="00847CE5"/>
    <w:rsid w:val="00864452"/>
    <w:rsid w:val="00876B6F"/>
    <w:rsid w:val="00917415"/>
    <w:rsid w:val="00934BB6"/>
    <w:rsid w:val="00955791"/>
    <w:rsid w:val="00965503"/>
    <w:rsid w:val="00991360"/>
    <w:rsid w:val="009E6462"/>
    <w:rsid w:val="00AA5070"/>
    <w:rsid w:val="00AC5CB5"/>
    <w:rsid w:val="00AD1268"/>
    <w:rsid w:val="00AE6169"/>
    <w:rsid w:val="00AF3547"/>
    <w:rsid w:val="00BF0684"/>
    <w:rsid w:val="00C30855"/>
    <w:rsid w:val="00CA0BD4"/>
    <w:rsid w:val="00D3387F"/>
    <w:rsid w:val="00D77557"/>
    <w:rsid w:val="00D92B20"/>
    <w:rsid w:val="00DA1ACD"/>
    <w:rsid w:val="00E9617C"/>
    <w:rsid w:val="00EE0655"/>
    <w:rsid w:val="00EF2517"/>
    <w:rsid w:val="00F477A8"/>
    <w:rsid w:val="00F54A72"/>
    <w:rsid w:val="02204DB8"/>
    <w:rsid w:val="024355BC"/>
    <w:rsid w:val="0297662F"/>
    <w:rsid w:val="02F64606"/>
    <w:rsid w:val="031C1FBA"/>
    <w:rsid w:val="04160610"/>
    <w:rsid w:val="068B7333"/>
    <w:rsid w:val="07413A95"/>
    <w:rsid w:val="086E1AA3"/>
    <w:rsid w:val="09BF4F3D"/>
    <w:rsid w:val="0A122D09"/>
    <w:rsid w:val="0A3741F2"/>
    <w:rsid w:val="0CA77331"/>
    <w:rsid w:val="0CF31723"/>
    <w:rsid w:val="0D361CEC"/>
    <w:rsid w:val="0DC56367"/>
    <w:rsid w:val="0FB2215B"/>
    <w:rsid w:val="11CB154F"/>
    <w:rsid w:val="14EC4A48"/>
    <w:rsid w:val="171A6359"/>
    <w:rsid w:val="176A1821"/>
    <w:rsid w:val="185F1DCD"/>
    <w:rsid w:val="19E6719A"/>
    <w:rsid w:val="1A7510BF"/>
    <w:rsid w:val="1B952D36"/>
    <w:rsid w:val="1E110B10"/>
    <w:rsid w:val="1E23363C"/>
    <w:rsid w:val="1EFB4D65"/>
    <w:rsid w:val="1FBF6A26"/>
    <w:rsid w:val="20D51FA6"/>
    <w:rsid w:val="21DE6FDD"/>
    <w:rsid w:val="22CF6088"/>
    <w:rsid w:val="23B71F71"/>
    <w:rsid w:val="242F6132"/>
    <w:rsid w:val="25CB4FC5"/>
    <w:rsid w:val="25FF1E55"/>
    <w:rsid w:val="284468C4"/>
    <w:rsid w:val="28786771"/>
    <w:rsid w:val="29E11C7D"/>
    <w:rsid w:val="29F3709C"/>
    <w:rsid w:val="2A4763EA"/>
    <w:rsid w:val="2A634F82"/>
    <w:rsid w:val="2B342280"/>
    <w:rsid w:val="2C783ECF"/>
    <w:rsid w:val="2C8B1AA4"/>
    <w:rsid w:val="2CC51C54"/>
    <w:rsid w:val="2D2B61B9"/>
    <w:rsid w:val="2F8B7D26"/>
    <w:rsid w:val="2FB620CB"/>
    <w:rsid w:val="302F1E8A"/>
    <w:rsid w:val="32672F3B"/>
    <w:rsid w:val="348B10EC"/>
    <w:rsid w:val="35101668"/>
    <w:rsid w:val="38CF5396"/>
    <w:rsid w:val="397F6DBC"/>
    <w:rsid w:val="399D7242"/>
    <w:rsid w:val="3A242E1F"/>
    <w:rsid w:val="3A8D6CAA"/>
    <w:rsid w:val="3A9C2883"/>
    <w:rsid w:val="3B547DD5"/>
    <w:rsid w:val="3C166A82"/>
    <w:rsid w:val="3C49544C"/>
    <w:rsid w:val="3C8722FF"/>
    <w:rsid w:val="3D036CE4"/>
    <w:rsid w:val="3DE15F8C"/>
    <w:rsid w:val="3E0C0DE5"/>
    <w:rsid w:val="3EAA0BA4"/>
    <w:rsid w:val="3EE94F9E"/>
    <w:rsid w:val="40445040"/>
    <w:rsid w:val="41134D68"/>
    <w:rsid w:val="432C4D27"/>
    <w:rsid w:val="45A060F3"/>
    <w:rsid w:val="468A6765"/>
    <w:rsid w:val="470E79D1"/>
    <w:rsid w:val="4A0F40C0"/>
    <w:rsid w:val="4A17395A"/>
    <w:rsid w:val="4A9F72BE"/>
    <w:rsid w:val="4B0233A9"/>
    <w:rsid w:val="4B6A2B20"/>
    <w:rsid w:val="4B832328"/>
    <w:rsid w:val="4C320E80"/>
    <w:rsid w:val="4D072284"/>
    <w:rsid w:val="4D3B11F2"/>
    <w:rsid w:val="4D664431"/>
    <w:rsid w:val="4DB82068"/>
    <w:rsid w:val="4F2742A4"/>
    <w:rsid w:val="50907473"/>
    <w:rsid w:val="51527840"/>
    <w:rsid w:val="544011EF"/>
    <w:rsid w:val="55B1434A"/>
    <w:rsid w:val="564D7F58"/>
    <w:rsid w:val="571E66A1"/>
    <w:rsid w:val="57F43B86"/>
    <w:rsid w:val="5A1A69A6"/>
    <w:rsid w:val="5A845B89"/>
    <w:rsid w:val="5C532C27"/>
    <w:rsid w:val="5D0453E2"/>
    <w:rsid w:val="5D7D65D1"/>
    <w:rsid w:val="5E1A5D3B"/>
    <w:rsid w:val="5E581C4F"/>
    <w:rsid w:val="5EB36A3D"/>
    <w:rsid w:val="60A90D30"/>
    <w:rsid w:val="619A0B1B"/>
    <w:rsid w:val="61B34FA6"/>
    <w:rsid w:val="639C5ABE"/>
    <w:rsid w:val="63F1318A"/>
    <w:rsid w:val="64F22811"/>
    <w:rsid w:val="67B16DC7"/>
    <w:rsid w:val="6A52276F"/>
    <w:rsid w:val="6B026032"/>
    <w:rsid w:val="6BD013AD"/>
    <w:rsid w:val="6EE23434"/>
    <w:rsid w:val="6F406071"/>
    <w:rsid w:val="6FDD23C1"/>
    <w:rsid w:val="70425AFD"/>
    <w:rsid w:val="70B56644"/>
    <w:rsid w:val="70C11497"/>
    <w:rsid w:val="70F353BF"/>
    <w:rsid w:val="71BF7B93"/>
    <w:rsid w:val="71FF0951"/>
    <w:rsid w:val="72347190"/>
    <w:rsid w:val="73E4483D"/>
    <w:rsid w:val="759F543B"/>
    <w:rsid w:val="77684485"/>
    <w:rsid w:val="77CA50CB"/>
    <w:rsid w:val="781E0F73"/>
    <w:rsid w:val="79947395"/>
    <w:rsid w:val="79EF0481"/>
    <w:rsid w:val="7A97541D"/>
    <w:rsid w:val="7B332489"/>
    <w:rsid w:val="7B9F5FA1"/>
    <w:rsid w:val="7C2E7BDD"/>
    <w:rsid w:val="7D4D1F73"/>
    <w:rsid w:val="7DBF4A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semiHidden/>
    <w:unhideWhenUsed/>
    <w:qFormat/>
    <w:uiPriority w:val="99"/>
    <w:rPr>
      <w:color w:val="0000FF"/>
      <w:u w:val="single"/>
    </w:rPr>
  </w:style>
  <w:style w:type="character" w:customStyle="1" w:styleId="10">
    <w:name w:val="页眉 Char"/>
    <w:basedOn w:val="8"/>
    <w:link w:val="3"/>
    <w:qFormat/>
    <w:uiPriority w:val="99"/>
    <w:rPr>
      <w:sz w:val="18"/>
      <w:szCs w:val="18"/>
    </w:rPr>
  </w:style>
  <w:style w:type="character" w:customStyle="1" w:styleId="11">
    <w:name w:val="页脚 Char"/>
    <w:basedOn w:val="8"/>
    <w:link w:val="2"/>
    <w:qFormat/>
    <w:uiPriority w:val="99"/>
    <w:rPr>
      <w:sz w:val="18"/>
      <w:szCs w:val="18"/>
    </w:rPr>
  </w:style>
  <w:style w:type="character" w:customStyle="1" w:styleId="12">
    <w:name w:val="font31"/>
    <w:basedOn w:val="8"/>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6012</Words>
  <Characters>6272</Characters>
  <Lines>19</Lines>
  <Paragraphs>5</Paragraphs>
  <TotalTime>26</TotalTime>
  <ScaleCrop>false</ScaleCrop>
  <LinksUpToDate>false</LinksUpToDate>
  <CharactersWithSpaces>6312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Min&amp;G</cp:lastModifiedBy>
  <dcterms:modified xsi:type="dcterms:W3CDTF">2024-11-15T02:49:50Z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483345B5374F49F7A6F912D03F9FA6D8</vt:lpwstr>
  </property>
  <property fmtid="{D5CDD505-2E9C-101B-9397-08002B2CF9AE}" pid="4" name="commondata">
    <vt:lpwstr>eyJoZGlkIjoiMmM4NjY0ZDI1YTliZjE1ZTlkNDcxZDZiNzI0NzBlYzIifQ==</vt:lpwstr>
  </property>
</Properties>
</file>