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D370">
      <w:pPr>
        <w:jc w:val="center"/>
        <w:rPr>
          <w:b/>
          <w:sz w:val="32"/>
          <w:szCs w:val="32"/>
        </w:rPr>
      </w:pPr>
      <w:r>
        <w:rPr>
          <w:rFonts w:hint="eastAsia"/>
          <w:b/>
          <w:sz w:val="32"/>
          <w:szCs w:val="32"/>
        </w:rPr>
        <w:t>招标工程量清单编制说明</w:t>
      </w:r>
    </w:p>
    <w:p w14:paraId="28664492">
      <w:pPr>
        <w:spacing w:line="360" w:lineRule="auto"/>
        <w:ind w:firstLine="442" w:firstLineChars="200"/>
        <w:rPr>
          <w:rFonts w:asciiTheme="minorEastAsia" w:hAnsiTheme="minorEastAsia"/>
          <w:b/>
          <w:sz w:val="22"/>
        </w:rPr>
      </w:pPr>
      <w:bookmarkStart w:id="0" w:name="OLE_LINK1"/>
      <w:r>
        <w:rPr>
          <w:rFonts w:hint="eastAsia" w:asciiTheme="minorEastAsia" w:hAnsiTheme="minorEastAsia"/>
          <w:b/>
          <w:sz w:val="22"/>
        </w:rPr>
        <w:t>一、工程概况</w:t>
      </w:r>
    </w:p>
    <w:p w14:paraId="3E68D8E0">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南京大学仙林校区第一运动场地库照明、排水系统</w:t>
      </w:r>
      <w:r>
        <w:rPr>
          <w:rFonts w:hint="eastAsia" w:asciiTheme="minorEastAsia" w:hAnsiTheme="minorEastAsia"/>
          <w:color w:val="auto"/>
          <w:sz w:val="22"/>
          <w:lang w:eastAsia="zh-CN"/>
        </w:rPr>
        <w:t>维修工程，</w:t>
      </w:r>
      <w:r>
        <w:rPr>
          <w:rFonts w:hint="eastAsia" w:asciiTheme="minorEastAsia" w:hAnsiTheme="minorEastAsia"/>
          <w:color w:val="auto"/>
          <w:sz w:val="22"/>
        </w:rPr>
        <w:t>建筑面积</w:t>
      </w:r>
      <w:r>
        <w:rPr>
          <w:rFonts w:hint="eastAsia" w:asciiTheme="minorEastAsia" w:hAnsiTheme="minorEastAsia"/>
          <w:color w:val="auto"/>
          <w:sz w:val="22"/>
          <w:lang w:val="en-US" w:eastAsia="zh-CN"/>
        </w:rPr>
        <w:t>9813</w:t>
      </w:r>
      <w:r>
        <w:rPr>
          <w:rFonts w:hint="eastAsia" w:asciiTheme="minorEastAsia" w:hAnsiTheme="minorEastAsia"/>
          <w:color w:val="auto"/>
          <w:sz w:val="22"/>
        </w:rPr>
        <w:t>平方米，</w:t>
      </w:r>
      <w:r>
        <w:rPr>
          <w:rFonts w:hint="eastAsia" w:asciiTheme="minorEastAsia" w:hAnsiTheme="minorEastAsia"/>
          <w:color w:val="auto"/>
          <w:sz w:val="22"/>
          <w:lang w:val="en-US" w:eastAsia="zh-CN"/>
        </w:rPr>
        <w:t>本项目拟对照明、排水系统设备等进行维修与更换。</w:t>
      </w:r>
    </w:p>
    <w:p w14:paraId="7CABE8BC">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5D9CCC3E">
      <w:pPr>
        <w:spacing w:line="360" w:lineRule="auto"/>
        <w:ind w:firstLine="440" w:firstLineChars="200"/>
        <w:rPr>
          <w:rFonts w:asciiTheme="minorEastAsia" w:hAnsiTheme="minorEastAsia"/>
          <w:b/>
          <w:i/>
          <w:color w:val="auto"/>
          <w:sz w:val="22"/>
          <w:u w:val="single"/>
        </w:rPr>
      </w:pPr>
      <w:r>
        <w:rPr>
          <w:rFonts w:hint="eastAsia" w:asciiTheme="minorEastAsia" w:hAnsiTheme="minorEastAsia"/>
          <w:color w:val="auto"/>
          <w:sz w:val="22"/>
        </w:rPr>
        <w:t>本次改造内容主要包括</w:t>
      </w:r>
      <w:r>
        <w:rPr>
          <w:rFonts w:hint="eastAsia" w:asciiTheme="minorEastAsia" w:hAnsiTheme="minorEastAsia"/>
          <w:color w:val="auto"/>
          <w:sz w:val="22"/>
          <w:lang w:val="en-US" w:eastAsia="zh-CN"/>
        </w:rPr>
        <w:t>疏散指示、排污泵、卷帘门等</w:t>
      </w:r>
      <w:r>
        <w:rPr>
          <w:rFonts w:hint="eastAsia" w:asciiTheme="minorEastAsia" w:hAnsiTheme="minorEastAsia"/>
          <w:color w:val="auto"/>
          <w:sz w:val="22"/>
        </w:rPr>
        <w:t>。</w:t>
      </w:r>
    </w:p>
    <w:bookmarkEnd w:id="0"/>
    <w:p w14:paraId="7D3AAA6D">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14:paraId="47196A6D">
      <w:pPr>
        <w:spacing w:line="360" w:lineRule="auto"/>
        <w:ind w:firstLine="440" w:firstLineChars="200"/>
        <w:rPr>
          <w:rFonts w:hint="eastAsia" w:asciiTheme="minorEastAsia" w:hAnsiTheme="minorEastAsia"/>
          <w:sz w:val="22"/>
        </w:rPr>
      </w:pPr>
      <w:r>
        <w:rPr>
          <w:rFonts w:hint="eastAsia" w:asciiTheme="minorEastAsia" w:hAnsiTheme="minorEastAsia"/>
          <w:color w:val="auto"/>
          <w:sz w:val="22"/>
        </w:rPr>
        <w:t>1、</w:t>
      </w:r>
      <w:r>
        <w:rPr>
          <w:rFonts w:hint="eastAsia" w:asciiTheme="minorEastAsia" w:hAnsiTheme="minorEastAsia"/>
          <w:color w:val="auto"/>
          <w:sz w:val="22"/>
          <w:lang w:val="en-US" w:eastAsia="zh-CN"/>
        </w:rPr>
        <w:t>南京市民用建筑设计研究院有限责任公司</w:t>
      </w:r>
      <w:r>
        <w:rPr>
          <w:rFonts w:hint="eastAsia" w:asciiTheme="minorEastAsia" w:hAnsiTheme="minorEastAsia"/>
          <w:color w:val="auto"/>
          <w:sz w:val="22"/>
        </w:rPr>
        <w:t>设计的</w:t>
      </w:r>
      <w:r>
        <w:rPr>
          <w:rFonts w:hint="eastAsia" w:asciiTheme="minorEastAsia" w:hAnsiTheme="minorEastAsia"/>
          <w:color w:val="auto"/>
          <w:sz w:val="22"/>
          <w:lang w:val="en-US" w:eastAsia="zh-CN"/>
        </w:rPr>
        <w:t>2007</w:t>
      </w:r>
      <w:r>
        <w:rPr>
          <w:rFonts w:hint="eastAsia" w:asciiTheme="minorEastAsia" w:hAnsiTheme="minorEastAsia"/>
          <w:color w:val="auto"/>
          <w:sz w:val="22"/>
        </w:rPr>
        <w:t>年</w:t>
      </w:r>
      <w:r>
        <w:rPr>
          <w:rFonts w:hint="eastAsia" w:asciiTheme="minorEastAsia" w:hAnsiTheme="minorEastAsia"/>
          <w:color w:val="auto"/>
          <w:sz w:val="22"/>
          <w:lang w:val="en-US" w:eastAsia="zh-CN"/>
        </w:rPr>
        <w:t>8</w:t>
      </w:r>
      <w:r>
        <w:rPr>
          <w:rFonts w:hint="eastAsia" w:asciiTheme="minorEastAsia" w:hAnsiTheme="minorEastAsia"/>
          <w:color w:val="auto"/>
          <w:sz w:val="22"/>
        </w:rPr>
        <w:t>月</w:t>
      </w:r>
      <w:r>
        <w:rPr>
          <w:rFonts w:hint="eastAsia" w:asciiTheme="minorEastAsia" w:hAnsiTheme="minorEastAsia"/>
          <w:color w:val="auto"/>
          <w:sz w:val="22"/>
          <w:lang w:val="en-US" w:eastAsia="zh-CN"/>
        </w:rPr>
        <w:t>30</w:t>
      </w:r>
      <w:r>
        <w:rPr>
          <w:rFonts w:hint="eastAsia" w:asciiTheme="minorEastAsia" w:hAnsiTheme="minorEastAsia"/>
          <w:color w:val="auto"/>
          <w:sz w:val="22"/>
        </w:rPr>
        <w:t>日施工图及其说明、设</w:t>
      </w:r>
      <w:r>
        <w:rPr>
          <w:rFonts w:hint="eastAsia" w:asciiTheme="minorEastAsia" w:hAnsiTheme="minorEastAsia"/>
          <w:sz w:val="22"/>
        </w:rPr>
        <w:t>计修改、变更通知等技术资料。</w:t>
      </w:r>
    </w:p>
    <w:p w14:paraId="5FD62C80">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14:paraId="09EAB275">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14:paraId="5A2FB7DD">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14:paraId="711E9F88">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③《通用安装工程工程量计算规范》（GB50856-2013）</w:t>
      </w:r>
    </w:p>
    <w:p w14:paraId="3200B6C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eastAsia="zh-CN"/>
        </w:rPr>
        <w:t>④</w:t>
      </w:r>
      <w:r>
        <w:rPr>
          <w:rFonts w:hint="eastAsia" w:asciiTheme="minorEastAsia" w:hAnsiTheme="minorEastAsia"/>
          <w:color w:val="auto"/>
          <w:sz w:val="22"/>
        </w:rPr>
        <w:t>现行相关补充或调整文件</w:t>
      </w:r>
    </w:p>
    <w:p w14:paraId="121E3413">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14:paraId="4EDF2DA4">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14:paraId="3CF24F14">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w:t>
      </w:r>
      <w:bookmarkStart w:id="1" w:name="_GoBack"/>
      <w:bookmarkEnd w:id="1"/>
      <w:r>
        <w:rPr>
          <w:rFonts w:hint="eastAsia" w:asciiTheme="minorEastAsia" w:hAnsiTheme="minorEastAsia"/>
          <w:color w:val="auto"/>
          <w:sz w:val="22"/>
        </w:rPr>
        <w:t>程计价依据调整的通知》 苏建价（2016）154号文及相关附件。</w:t>
      </w:r>
    </w:p>
    <w:p w14:paraId="0FDFA2DA">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14:paraId="51AAEAB1">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14:paraId="7728BFD7">
      <w:pPr>
        <w:spacing w:line="360" w:lineRule="auto"/>
        <w:ind w:firstLine="440" w:firstLineChars="200"/>
        <w:rPr>
          <w:rFonts w:hint="eastAsia" w:asciiTheme="minorEastAsia" w:hAnsiTheme="minorEastAsia" w:eastAsiaTheme="minorEastAsia"/>
          <w:color w:val="auto"/>
          <w:sz w:val="22"/>
          <w:lang w:eastAsia="zh-CN"/>
        </w:rPr>
      </w:pPr>
      <w:r>
        <w:rPr>
          <w:rFonts w:hint="eastAsia" w:asciiTheme="minorEastAsia" w:hAnsiTheme="minorEastAsia"/>
          <w:color w:val="auto"/>
          <w:sz w:val="22"/>
        </w:rPr>
        <w:t>4、《省住房城乡建设厅关于建筑工人实名制费用计取方法的公告》〔2019〕第19号</w:t>
      </w:r>
      <w:r>
        <w:rPr>
          <w:rFonts w:hint="eastAsia" w:asciiTheme="minorEastAsia" w:hAnsiTheme="minorEastAsia"/>
          <w:color w:val="auto"/>
          <w:sz w:val="22"/>
          <w:lang w:eastAsia="zh-CN"/>
        </w:rPr>
        <w:t>。</w:t>
      </w:r>
    </w:p>
    <w:p w14:paraId="44EC23EF">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5、依据《建设工程计价设备材料划分标准》（GB/T50531-2009）划分的设备以设备形式计入且不计取总价措施费及规费。</w:t>
      </w:r>
    </w:p>
    <w:p w14:paraId="1CCF676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14:paraId="66BDC2B5">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14:paraId="63E78571">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14:paraId="20C8FFBF">
      <w:pPr>
        <w:spacing w:line="360" w:lineRule="auto"/>
        <w:ind w:firstLine="440" w:firstLineChars="200"/>
        <w:rPr>
          <w:rFonts w:hint="eastAsia" w:asciiTheme="minorEastAsia" w:hAnsiTheme="minorEastAsia" w:eastAsiaTheme="minorEastAsia"/>
          <w:b/>
          <w:color w:val="auto"/>
          <w:sz w:val="22"/>
          <w:lang w:eastAsia="zh-CN"/>
        </w:rPr>
      </w:pPr>
      <w:r>
        <w:rPr>
          <w:rFonts w:hint="eastAsia" w:asciiTheme="minorEastAsia" w:hAnsiTheme="minorEastAsia"/>
          <w:color w:val="auto"/>
          <w:sz w:val="22"/>
        </w:rPr>
        <w:t>（1）暂列金额：有</w:t>
      </w:r>
      <w:r>
        <w:rPr>
          <w:rFonts w:hint="eastAsia" w:asciiTheme="minorEastAsia" w:hAnsiTheme="minorEastAsia"/>
          <w:color w:val="auto"/>
          <w:sz w:val="22"/>
          <w:lang w:eastAsia="zh-CN"/>
        </w:rPr>
        <w:t>。</w:t>
      </w:r>
    </w:p>
    <w:p w14:paraId="5E5878B6">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（2）暂估价：无。</w:t>
      </w:r>
    </w:p>
    <w:p w14:paraId="795681FC">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14:paraId="56DD6874">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53C0B1CB">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2</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工程量根据原有人防设计图结合现场情况考虑计入。</w:t>
      </w:r>
    </w:p>
    <w:p w14:paraId="57F51839">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w:t>
      </w:r>
      <w:r>
        <w:rPr>
          <w:rFonts w:hint="eastAsia" w:asciiTheme="minorEastAsia" w:hAnsiTheme="minorEastAsia"/>
          <w:color w:val="auto"/>
          <w:sz w:val="22"/>
          <w:lang w:val="en-US" w:eastAsia="zh-CN"/>
        </w:rPr>
        <w:t>3</w:t>
      </w:r>
      <w:r>
        <w:rPr>
          <w:rFonts w:hint="eastAsia" w:asciiTheme="minorEastAsia" w:hAnsiTheme="minorEastAsia"/>
          <w:color w:val="auto"/>
          <w:sz w:val="22"/>
        </w:rPr>
        <w:t>）本工程砂浆按预拌砂浆考虑，砼按商品砼考虑，现场采用泵送还是非泵送由投标单位自行考虑。</w:t>
      </w:r>
    </w:p>
    <w:p w14:paraId="4FABBEF5">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4</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本工程最终需通过人防验收，所有材料设备需满足人防办验收要求。</w:t>
      </w:r>
    </w:p>
    <w:p w14:paraId="29E2AC26">
      <w:pPr>
        <w:spacing w:line="360" w:lineRule="auto"/>
        <w:ind w:firstLine="663" w:firstLineChars="300"/>
        <w:rPr>
          <w:rFonts w:asciiTheme="minorEastAsia" w:hAnsiTheme="minorEastAsia"/>
          <w:b/>
          <w:color w:val="auto"/>
          <w:sz w:val="22"/>
        </w:rPr>
      </w:pPr>
      <w:r>
        <w:rPr>
          <w:rFonts w:hint="eastAsia" w:asciiTheme="minorEastAsia" w:hAnsiTheme="minorEastAsia"/>
          <w:b/>
          <w:color w:val="auto"/>
          <w:sz w:val="22"/>
        </w:rPr>
        <w:t>六、主要材料设备</w:t>
      </w:r>
    </w:p>
    <w:p w14:paraId="00C30C50">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（一）投标人负责采购的主要材料设备</w:t>
      </w:r>
    </w:p>
    <w:p w14:paraId="02273FB0">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0C99F607">
      <w:pPr>
        <w:numPr>
          <w:ilvl w:val="0"/>
          <w:numId w:val="1"/>
        </w:num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本项目主要材料品牌推荐表如下：</w:t>
      </w:r>
    </w:p>
    <w:p w14:paraId="58035F17">
      <w:pPr>
        <w:numPr>
          <w:ilvl w:val="0"/>
          <w:numId w:val="0"/>
        </w:numPr>
        <w:spacing w:line="360" w:lineRule="auto"/>
        <w:rPr>
          <w:rFonts w:hint="default" w:asciiTheme="minorEastAsia" w:hAnsiTheme="minorEastAsia" w:eastAsiaTheme="minorEastAsia"/>
          <w:color w:val="auto"/>
          <w:sz w:val="22"/>
          <w:lang w:val="en-US" w:eastAsia="zh-CN"/>
        </w:rPr>
      </w:pPr>
    </w:p>
    <w:tbl>
      <w:tblPr>
        <w:tblStyle w:val="6"/>
        <w:tblW w:w="52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981"/>
        <w:gridCol w:w="2076"/>
        <w:gridCol w:w="3908"/>
        <w:gridCol w:w="1060"/>
      </w:tblGrid>
      <w:tr w14:paraId="09F4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5995175E">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序号</w:t>
            </w:r>
          </w:p>
        </w:tc>
        <w:tc>
          <w:tcPr>
            <w:tcW w:w="1014" w:type="pct"/>
            <w:vAlign w:val="center"/>
          </w:tcPr>
          <w:p w14:paraId="1DA49A65">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材料设备名称</w:t>
            </w:r>
          </w:p>
        </w:tc>
        <w:tc>
          <w:tcPr>
            <w:tcW w:w="1063" w:type="pct"/>
            <w:vAlign w:val="center"/>
          </w:tcPr>
          <w:p w14:paraId="2E45F0D8">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推荐品牌（系列）</w:t>
            </w:r>
          </w:p>
        </w:tc>
        <w:tc>
          <w:tcPr>
            <w:tcW w:w="2001" w:type="pct"/>
            <w:vAlign w:val="center"/>
          </w:tcPr>
          <w:p w14:paraId="7B455AF6">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制造商名称</w:t>
            </w:r>
          </w:p>
        </w:tc>
        <w:tc>
          <w:tcPr>
            <w:tcW w:w="542" w:type="pct"/>
            <w:vAlign w:val="center"/>
          </w:tcPr>
          <w:p w14:paraId="5C7FB2C7">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备注</w:t>
            </w:r>
          </w:p>
        </w:tc>
      </w:tr>
      <w:tr w14:paraId="51F0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8" w:hRule="atLeast"/>
          <w:jc w:val="center"/>
        </w:trPr>
        <w:tc>
          <w:tcPr>
            <w:tcW w:w="378" w:type="pct"/>
            <w:vMerge w:val="restart"/>
            <w:vAlign w:val="center"/>
          </w:tcPr>
          <w:p w14:paraId="58952634">
            <w:pPr>
              <w:spacing w:line="360" w:lineRule="auto"/>
              <w:jc w:val="center"/>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w:t>
            </w:r>
          </w:p>
        </w:tc>
        <w:tc>
          <w:tcPr>
            <w:tcW w:w="1014" w:type="pct"/>
            <w:vMerge w:val="restart"/>
            <w:vAlign w:val="center"/>
          </w:tcPr>
          <w:p w14:paraId="0F38F5FB">
            <w:pPr>
              <w:spacing w:line="360" w:lineRule="auto"/>
              <w:jc w:val="center"/>
              <w:rPr>
                <w:rFonts w:hint="eastAsia"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水泥</w:t>
            </w:r>
          </w:p>
        </w:tc>
        <w:tc>
          <w:tcPr>
            <w:tcW w:w="1063" w:type="pct"/>
            <w:vAlign w:val="center"/>
          </w:tcPr>
          <w:p w14:paraId="249665E2">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海螺</w:t>
            </w:r>
          </w:p>
        </w:tc>
        <w:tc>
          <w:tcPr>
            <w:tcW w:w="2001" w:type="pct"/>
            <w:vAlign w:val="center"/>
          </w:tcPr>
          <w:p w14:paraId="03C50030">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安徽海螺水泥股份有限公司</w:t>
            </w:r>
          </w:p>
        </w:tc>
        <w:tc>
          <w:tcPr>
            <w:tcW w:w="542" w:type="pct"/>
            <w:vAlign w:val="center"/>
          </w:tcPr>
          <w:p w14:paraId="15B17031">
            <w:pPr>
              <w:spacing w:line="360" w:lineRule="auto"/>
              <w:jc w:val="center"/>
              <w:rPr>
                <w:rFonts w:asciiTheme="minorEastAsia" w:hAnsiTheme="minorEastAsia"/>
                <w:color w:val="auto"/>
                <w:sz w:val="20"/>
                <w:szCs w:val="20"/>
              </w:rPr>
            </w:pPr>
          </w:p>
        </w:tc>
      </w:tr>
      <w:tr w14:paraId="25CF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0DBF3B3B">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547D6052">
            <w:pPr>
              <w:spacing w:line="360" w:lineRule="auto"/>
              <w:jc w:val="center"/>
              <w:rPr>
                <w:rFonts w:asciiTheme="minorEastAsia" w:hAnsiTheme="minorEastAsia"/>
                <w:color w:val="auto"/>
                <w:sz w:val="20"/>
                <w:szCs w:val="20"/>
              </w:rPr>
            </w:pPr>
          </w:p>
        </w:tc>
        <w:tc>
          <w:tcPr>
            <w:tcW w:w="1063" w:type="pct"/>
            <w:vAlign w:val="center"/>
          </w:tcPr>
          <w:p w14:paraId="0AC25A4F">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鹤林</w:t>
            </w:r>
          </w:p>
        </w:tc>
        <w:tc>
          <w:tcPr>
            <w:tcW w:w="2001" w:type="pct"/>
            <w:vAlign w:val="center"/>
          </w:tcPr>
          <w:p w14:paraId="14F08513">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江苏鹤林水泥有限公司</w:t>
            </w:r>
          </w:p>
        </w:tc>
        <w:tc>
          <w:tcPr>
            <w:tcW w:w="542" w:type="pct"/>
            <w:vAlign w:val="center"/>
          </w:tcPr>
          <w:p w14:paraId="5EB9C7F3">
            <w:pPr>
              <w:spacing w:line="360" w:lineRule="auto"/>
              <w:jc w:val="center"/>
              <w:rPr>
                <w:rFonts w:asciiTheme="minorEastAsia" w:hAnsiTheme="minorEastAsia"/>
                <w:color w:val="auto"/>
                <w:sz w:val="20"/>
                <w:szCs w:val="20"/>
              </w:rPr>
            </w:pPr>
          </w:p>
        </w:tc>
      </w:tr>
      <w:tr w14:paraId="61D1E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35A59F79">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453EC8A2">
            <w:pPr>
              <w:spacing w:line="360" w:lineRule="auto"/>
              <w:jc w:val="center"/>
              <w:rPr>
                <w:rFonts w:asciiTheme="minorEastAsia" w:hAnsiTheme="minorEastAsia"/>
                <w:color w:val="auto"/>
                <w:sz w:val="20"/>
                <w:szCs w:val="20"/>
              </w:rPr>
            </w:pPr>
          </w:p>
        </w:tc>
        <w:tc>
          <w:tcPr>
            <w:tcW w:w="1063" w:type="pct"/>
            <w:vAlign w:val="center"/>
          </w:tcPr>
          <w:p w14:paraId="4D7FF53C">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中联</w:t>
            </w:r>
          </w:p>
        </w:tc>
        <w:tc>
          <w:tcPr>
            <w:tcW w:w="2001" w:type="pct"/>
            <w:vAlign w:val="center"/>
          </w:tcPr>
          <w:p w14:paraId="2975EC18">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中国联合水泥集团有限公司</w:t>
            </w:r>
          </w:p>
        </w:tc>
        <w:tc>
          <w:tcPr>
            <w:tcW w:w="542" w:type="pct"/>
            <w:vAlign w:val="center"/>
          </w:tcPr>
          <w:p w14:paraId="7C5AF862">
            <w:pPr>
              <w:spacing w:line="360" w:lineRule="auto"/>
              <w:jc w:val="center"/>
              <w:rPr>
                <w:rFonts w:asciiTheme="minorEastAsia" w:hAnsiTheme="minorEastAsia"/>
                <w:color w:val="auto"/>
                <w:sz w:val="20"/>
                <w:szCs w:val="20"/>
              </w:rPr>
            </w:pPr>
          </w:p>
        </w:tc>
      </w:tr>
      <w:tr w14:paraId="1A6B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8" w:type="pct"/>
            <w:vMerge w:val="restart"/>
            <w:vAlign w:val="center"/>
          </w:tcPr>
          <w:p w14:paraId="6AFFA9BA">
            <w:pPr>
              <w:spacing w:line="360" w:lineRule="auto"/>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2</w:t>
            </w:r>
          </w:p>
        </w:tc>
        <w:tc>
          <w:tcPr>
            <w:tcW w:w="1014" w:type="pct"/>
            <w:vMerge w:val="restart"/>
            <w:vAlign w:val="center"/>
          </w:tcPr>
          <w:p w14:paraId="0E73CBB3">
            <w:pPr>
              <w:spacing w:line="360" w:lineRule="auto"/>
              <w:jc w:val="center"/>
              <w:rPr>
                <w:rFonts w:hint="default"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室内照明灯具</w:t>
            </w:r>
          </w:p>
        </w:tc>
        <w:tc>
          <w:tcPr>
            <w:tcW w:w="1063" w:type="pct"/>
            <w:vAlign w:val="center"/>
          </w:tcPr>
          <w:p w14:paraId="618B3D9D">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三雄极光</w:t>
            </w:r>
          </w:p>
        </w:tc>
        <w:tc>
          <w:tcPr>
            <w:tcW w:w="2001" w:type="pct"/>
            <w:vAlign w:val="center"/>
          </w:tcPr>
          <w:p w14:paraId="21BAE0CE">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广东三雄极光照明股份有限公司</w:t>
            </w:r>
          </w:p>
        </w:tc>
        <w:tc>
          <w:tcPr>
            <w:tcW w:w="542" w:type="pct"/>
            <w:vAlign w:val="center"/>
          </w:tcPr>
          <w:p w14:paraId="57483BBB">
            <w:pPr>
              <w:spacing w:line="360" w:lineRule="auto"/>
              <w:jc w:val="center"/>
              <w:rPr>
                <w:rFonts w:asciiTheme="minorEastAsia" w:hAnsiTheme="minorEastAsia"/>
                <w:color w:val="auto"/>
                <w:sz w:val="20"/>
                <w:szCs w:val="20"/>
              </w:rPr>
            </w:pPr>
          </w:p>
        </w:tc>
      </w:tr>
      <w:tr w14:paraId="2C3AF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1A96FCA7">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5E32E7F1">
            <w:pPr>
              <w:spacing w:line="360" w:lineRule="auto"/>
              <w:jc w:val="center"/>
              <w:rPr>
                <w:rFonts w:asciiTheme="minorEastAsia" w:hAnsiTheme="minorEastAsia"/>
                <w:color w:val="auto"/>
                <w:sz w:val="20"/>
                <w:szCs w:val="20"/>
              </w:rPr>
            </w:pPr>
          </w:p>
        </w:tc>
        <w:tc>
          <w:tcPr>
            <w:tcW w:w="1063" w:type="pct"/>
            <w:vAlign w:val="center"/>
          </w:tcPr>
          <w:p w14:paraId="0088AC8B">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飞利浦</w:t>
            </w:r>
          </w:p>
        </w:tc>
        <w:tc>
          <w:tcPr>
            <w:tcW w:w="2001" w:type="pct"/>
            <w:vAlign w:val="center"/>
          </w:tcPr>
          <w:p w14:paraId="11BF5496">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昕诺飞(中国)投资有限公司</w:t>
            </w:r>
          </w:p>
        </w:tc>
        <w:tc>
          <w:tcPr>
            <w:tcW w:w="542" w:type="pct"/>
            <w:vAlign w:val="center"/>
          </w:tcPr>
          <w:p w14:paraId="1C9DB824">
            <w:pPr>
              <w:spacing w:line="360" w:lineRule="auto"/>
              <w:jc w:val="center"/>
              <w:rPr>
                <w:rFonts w:asciiTheme="minorEastAsia" w:hAnsiTheme="minorEastAsia"/>
                <w:color w:val="auto"/>
                <w:sz w:val="20"/>
                <w:szCs w:val="20"/>
              </w:rPr>
            </w:pPr>
          </w:p>
        </w:tc>
      </w:tr>
      <w:tr w14:paraId="6CD9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62DA54EB">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6FD544B5">
            <w:pPr>
              <w:spacing w:line="360" w:lineRule="auto"/>
              <w:jc w:val="center"/>
              <w:rPr>
                <w:rFonts w:asciiTheme="minorEastAsia" w:hAnsiTheme="minorEastAsia"/>
                <w:color w:val="auto"/>
                <w:sz w:val="20"/>
                <w:szCs w:val="20"/>
              </w:rPr>
            </w:pPr>
          </w:p>
        </w:tc>
        <w:tc>
          <w:tcPr>
            <w:tcW w:w="1063" w:type="pct"/>
            <w:vAlign w:val="center"/>
          </w:tcPr>
          <w:p w14:paraId="030C1FBC">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欧普 OPPLE</w:t>
            </w:r>
          </w:p>
        </w:tc>
        <w:tc>
          <w:tcPr>
            <w:tcW w:w="2001" w:type="pct"/>
            <w:vAlign w:val="center"/>
          </w:tcPr>
          <w:p w14:paraId="130D3A8A">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欧普照明股份有限公司</w:t>
            </w:r>
          </w:p>
        </w:tc>
        <w:tc>
          <w:tcPr>
            <w:tcW w:w="542" w:type="pct"/>
            <w:vAlign w:val="center"/>
          </w:tcPr>
          <w:p w14:paraId="40BB4194">
            <w:pPr>
              <w:spacing w:line="360" w:lineRule="auto"/>
              <w:jc w:val="center"/>
              <w:rPr>
                <w:rFonts w:asciiTheme="minorEastAsia" w:hAnsiTheme="minorEastAsia"/>
                <w:color w:val="auto"/>
                <w:sz w:val="20"/>
                <w:szCs w:val="20"/>
              </w:rPr>
            </w:pPr>
          </w:p>
        </w:tc>
      </w:tr>
      <w:tr w14:paraId="61B5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tcBorders>
              <w:bottom w:val="nil"/>
            </w:tcBorders>
            <w:vAlign w:val="center"/>
          </w:tcPr>
          <w:p w14:paraId="20E626E5">
            <w:pPr>
              <w:spacing w:line="360" w:lineRule="auto"/>
              <w:jc w:val="both"/>
              <w:rPr>
                <w:rFonts w:hint="eastAsia" w:asciiTheme="minorEastAsia" w:hAnsiTheme="minorEastAsia" w:eastAsiaTheme="minorEastAsia" w:cstheme="minorEastAsia"/>
                <w:color w:val="auto"/>
                <w:sz w:val="20"/>
                <w:szCs w:val="20"/>
              </w:rPr>
            </w:pPr>
          </w:p>
        </w:tc>
        <w:tc>
          <w:tcPr>
            <w:tcW w:w="1014" w:type="pct"/>
            <w:tcBorders>
              <w:bottom w:val="nil"/>
            </w:tcBorders>
            <w:vAlign w:val="center"/>
          </w:tcPr>
          <w:p w14:paraId="00AA61A6">
            <w:pPr>
              <w:spacing w:line="360" w:lineRule="auto"/>
              <w:jc w:val="center"/>
              <w:rPr>
                <w:rFonts w:asciiTheme="minorEastAsia" w:hAnsiTheme="minorEastAsia"/>
                <w:color w:val="auto"/>
                <w:sz w:val="20"/>
                <w:szCs w:val="20"/>
              </w:rPr>
            </w:pPr>
          </w:p>
        </w:tc>
        <w:tc>
          <w:tcPr>
            <w:tcW w:w="1063" w:type="pct"/>
            <w:vAlign w:val="center"/>
          </w:tcPr>
          <w:p w14:paraId="62179CCC">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敏华电工</w:t>
            </w:r>
          </w:p>
        </w:tc>
        <w:tc>
          <w:tcPr>
            <w:tcW w:w="2001" w:type="pct"/>
            <w:vAlign w:val="center"/>
          </w:tcPr>
          <w:p w14:paraId="3DACF1AB">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广东敏华电器有限公司</w:t>
            </w:r>
          </w:p>
        </w:tc>
        <w:tc>
          <w:tcPr>
            <w:tcW w:w="542" w:type="pct"/>
            <w:vAlign w:val="center"/>
          </w:tcPr>
          <w:p w14:paraId="45D81001">
            <w:pPr>
              <w:spacing w:line="360" w:lineRule="auto"/>
              <w:jc w:val="center"/>
              <w:rPr>
                <w:rFonts w:asciiTheme="minorEastAsia" w:hAnsiTheme="minorEastAsia"/>
                <w:color w:val="auto"/>
                <w:sz w:val="20"/>
                <w:szCs w:val="20"/>
              </w:rPr>
            </w:pPr>
          </w:p>
        </w:tc>
      </w:tr>
      <w:tr w14:paraId="31C0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tcBorders>
              <w:top w:val="nil"/>
            </w:tcBorders>
            <w:vAlign w:val="center"/>
          </w:tcPr>
          <w:p w14:paraId="69E02814">
            <w:pPr>
              <w:spacing w:line="360" w:lineRule="auto"/>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3</w:t>
            </w:r>
          </w:p>
        </w:tc>
        <w:tc>
          <w:tcPr>
            <w:tcW w:w="1014" w:type="pct"/>
            <w:vMerge w:val="restart"/>
            <w:tcBorders>
              <w:top w:val="nil"/>
            </w:tcBorders>
            <w:vAlign w:val="center"/>
          </w:tcPr>
          <w:p w14:paraId="7D5A0FC6">
            <w:pPr>
              <w:spacing w:line="360" w:lineRule="auto"/>
              <w:jc w:val="center"/>
              <w:rPr>
                <w:rFonts w:hint="default"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消防灯具</w:t>
            </w:r>
          </w:p>
        </w:tc>
        <w:tc>
          <w:tcPr>
            <w:tcW w:w="1063" w:type="pct"/>
            <w:vAlign w:val="center"/>
          </w:tcPr>
          <w:p w14:paraId="08C3C37E">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劳士</w:t>
            </w:r>
          </w:p>
        </w:tc>
        <w:tc>
          <w:tcPr>
            <w:tcW w:w="2001" w:type="pct"/>
            <w:vAlign w:val="center"/>
          </w:tcPr>
          <w:p w14:paraId="497E2FDD">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江门劳士国际电气有限公司</w:t>
            </w:r>
          </w:p>
        </w:tc>
        <w:tc>
          <w:tcPr>
            <w:tcW w:w="542" w:type="pct"/>
            <w:vAlign w:val="center"/>
          </w:tcPr>
          <w:p w14:paraId="119933BD">
            <w:pPr>
              <w:spacing w:line="360" w:lineRule="auto"/>
              <w:jc w:val="center"/>
              <w:rPr>
                <w:rFonts w:asciiTheme="minorEastAsia" w:hAnsiTheme="minorEastAsia"/>
                <w:color w:val="auto"/>
                <w:sz w:val="20"/>
                <w:szCs w:val="20"/>
              </w:rPr>
            </w:pPr>
          </w:p>
        </w:tc>
      </w:tr>
      <w:tr w14:paraId="2127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794AC988">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50FCE42C">
            <w:pPr>
              <w:spacing w:line="360" w:lineRule="auto"/>
              <w:jc w:val="center"/>
              <w:rPr>
                <w:rFonts w:asciiTheme="minorEastAsia" w:hAnsiTheme="minorEastAsia"/>
                <w:color w:val="auto"/>
                <w:sz w:val="20"/>
                <w:szCs w:val="20"/>
              </w:rPr>
            </w:pPr>
          </w:p>
        </w:tc>
        <w:tc>
          <w:tcPr>
            <w:tcW w:w="1063" w:type="pct"/>
            <w:vAlign w:val="center"/>
          </w:tcPr>
          <w:p w14:paraId="4A32893F">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普昇</w:t>
            </w:r>
          </w:p>
        </w:tc>
        <w:tc>
          <w:tcPr>
            <w:tcW w:w="2001" w:type="pct"/>
            <w:vAlign w:val="center"/>
          </w:tcPr>
          <w:p w14:paraId="7167F675">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普昇照明电器厂</w:t>
            </w:r>
          </w:p>
        </w:tc>
        <w:tc>
          <w:tcPr>
            <w:tcW w:w="542" w:type="pct"/>
            <w:vAlign w:val="center"/>
          </w:tcPr>
          <w:p w14:paraId="29BF1491">
            <w:pPr>
              <w:spacing w:line="360" w:lineRule="auto"/>
              <w:jc w:val="center"/>
              <w:rPr>
                <w:rFonts w:asciiTheme="minorEastAsia" w:hAnsiTheme="minorEastAsia"/>
                <w:color w:val="auto"/>
                <w:sz w:val="20"/>
                <w:szCs w:val="20"/>
              </w:rPr>
            </w:pPr>
          </w:p>
        </w:tc>
      </w:tr>
      <w:tr w14:paraId="405D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14:paraId="7E49EDBC">
            <w:pPr>
              <w:spacing w:line="360" w:lineRule="auto"/>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4</w:t>
            </w:r>
          </w:p>
        </w:tc>
        <w:tc>
          <w:tcPr>
            <w:tcW w:w="1014" w:type="pct"/>
            <w:vMerge w:val="restart"/>
            <w:vAlign w:val="center"/>
          </w:tcPr>
          <w:p w14:paraId="155A8362">
            <w:pPr>
              <w:spacing w:line="360" w:lineRule="auto"/>
              <w:jc w:val="center"/>
              <w:rPr>
                <w:rFonts w:hint="default"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防火卷帘门</w:t>
            </w:r>
          </w:p>
        </w:tc>
        <w:tc>
          <w:tcPr>
            <w:tcW w:w="1063" w:type="pct"/>
            <w:vAlign w:val="center"/>
          </w:tcPr>
          <w:p w14:paraId="18145311">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京安</w:t>
            </w:r>
          </w:p>
        </w:tc>
        <w:tc>
          <w:tcPr>
            <w:tcW w:w="2001" w:type="pct"/>
            <w:vAlign w:val="center"/>
          </w:tcPr>
          <w:p w14:paraId="713C7FF3">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江苏京安消防设备制造有限公司</w:t>
            </w:r>
          </w:p>
        </w:tc>
        <w:tc>
          <w:tcPr>
            <w:tcW w:w="542" w:type="pct"/>
            <w:vAlign w:val="center"/>
          </w:tcPr>
          <w:p w14:paraId="07A952D0">
            <w:pPr>
              <w:spacing w:line="360" w:lineRule="auto"/>
              <w:jc w:val="center"/>
              <w:rPr>
                <w:rFonts w:asciiTheme="minorEastAsia" w:hAnsiTheme="minorEastAsia"/>
                <w:color w:val="auto"/>
                <w:sz w:val="20"/>
                <w:szCs w:val="20"/>
              </w:rPr>
            </w:pPr>
          </w:p>
        </w:tc>
      </w:tr>
      <w:tr w14:paraId="68CA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57EAFD08">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34795B9B">
            <w:pPr>
              <w:spacing w:line="360" w:lineRule="auto"/>
              <w:jc w:val="center"/>
              <w:rPr>
                <w:rFonts w:asciiTheme="minorEastAsia" w:hAnsiTheme="minorEastAsia"/>
                <w:color w:val="auto"/>
                <w:sz w:val="20"/>
                <w:szCs w:val="20"/>
              </w:rPr>
            </w:pPr>
          </w:p>
        </w:tc>
        <w:tc>
          <w:tcPr>
            <w:tcW w:w="1063" w:type="pct"/>
            <w:vAlign w:val="center"/>
          </w:tcPr>
          <w:p w14:paraId="64988CDC">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凯尔</w:t>
            </w:r>
          </w:p>
        </w:tc>
        <w:tc>
          <w:tcPr>
            <w:tcW w:w="2001" w:type="pct"/>
            <w:vAlign w:val="center"/>
          </w:tcPr>
          <w:p w14:paraId="1A8CFD4B">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江苏凯尔消防工程设备有限公司</w:t>
            </w:r>
          </w:p>
        </w:tc>
        <w:tc>
          <w:tcPr>
            <w:tcW w:w="542" w:type="pct"/>
            <w:vAlign w:val="center"/>
          </w:tcPr>
          <w:p w14:paraId="61FDF127">
            <w:pPr>
              <w:spacing w:line="360" w:lineRule="auto"/>
              <w:jc w:val="center"/>
              <w:rPr>
                <w:rFonts w:asciiTheme="minorEastAsia" w:hAnsiTheme="minorEastAsia"/>
                <w:color w:val="auto"/>
                <w:sz w:val="20"/>
                <w:szCs w:val="20"/>
              </w:rPr>
            </w:pPr>
          </w:p>
        </w:tc>
      </w:tr>
      <w:tr w14:paraId="731B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14CA67F6">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6CBB838D">
            <w:pPr>
              <w:spacing w:line="360" w:lineRule="auto"/>
              <w:jc w:val="center"/>
              <w:rPr>
                <w:rFonts w:asciiTheme="minorEastAsia" w:hAnsiTheme="minorEastAsia"/>
                <w:color w:val="auto"/>
                <w:sz w:val="20"/>
                <w:szCs w:val="20"/>
              </w:rPr>
            </w:pPr>
          </w:p>
        </w:tc>
        <w:tc>
          <w:tcPr>
            <w:tcW w:w="1063" w:type="pct"/>
            <w:vAlign w:val="center"/>
          </w:tcPr>
          <w:p w14:paraId="07D45255">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宙斯盾</w:t>
            </w:r>
          </w:p>
        </w:tc>
        <w:tc>
          <w:tcPr>
            <w:tcW w:w="2001" w:type="pct"/>
            <w:vAlign w:val="center"/>
          </w:tcPr>
          <w:p w14:paraId="72311BD3">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江苏长城消防有限公司</w:t>
            </w:r>
          </w:p>
        </w:tc>
        <w:tc>
          <w:tcPr>
            <w:tcW w:w="542" w:type="pct"/>
            <w:vAlign w:val="center"/>
          </w:tcPr>
          <w:p w14:paraId="47A385DB">
            <w:pPr>
              <w:spacing w:line="360" w:lineRule="auto"/>
              <w:jc w:val="center"/>
              <w:rPr>
                <w:rFonts w:asciiTheme="minorEastAsia" w:hAnsiTheme="minorEastAsia"/>
                <w:color w:val="auto"/>
                <w:sz w:val="20"/>
                <w:szCs w:val="20"/>
              </w:rPr>
            </w:pPr>
          </w:p>
        </w:tc>
      </w:tr>
      <w:tr w14:paraId="45DA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14:paraId="024624A8">
            <w:pPr>
              <w:spacing w:line="360" w:lineRule="auto"/>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5</w:t>
            </w:r>
          </w:p>
        </w:tc>
        <w:tc>
          <w:tcPr>
            <w:tcW w:w="1014" w:type="pct"/>
            <w:vMerge w:val="restart"/>
            <w:vAlign w:val="center"/>
          </w:tcPr>
          <w:p w14:paraId="1C40182F">
            <w:pPr>
              <w:spacing w:line="360" w:lineRule="auto"/>
              <w:jc w:val="center"/>
              <w:rPr>
                <w:rFonts w:hint="eastAsia"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水泵</w:t>
            </w:r>
          </w:p>
        </w:tc>
        <w:tc>
          <w:tcPr>
            <w:tcW w:w="1063" w:type="pct"/>
            <w:vAlign w:val="center"/>
          </w:tcPr>
          <w:p w14:paraId="391BD701">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凯泉</w:t>
            </w:r>
          </w:p>
        </w:tc>
        <w:tc>
          <w:tcPr>
            <w:tcW w:w="2001" w:type="pct"/>
            <w:vAlign w:val="center"/>
          </w:tcPr>
          <w:p w14:paraId="634BB170">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上海凯泉泵业（集团）有限公司</w:t>
            </w:r>
          </w:p>
        </w:tc>
        <w:tc>
          <w:tcPr>
            <w:tcW w:w="542" w:type="pct"/>
            <w:vAlign w:val="center"/>
          </w:tcPr>
          <w:p w14:paraId="3425F80B">
            <w:pPr>
              <w:spacing w:line="360" w:lineRule="auto"/>
              <w:jc w:val="center"/>
              <w:rPr>
                <w:rFonts w:asciiTheme="minorEastAsia" w:hAnsiTheme="minorEastAsia"/>
                <w:color w:val="auto"/>
                <w:sz w:val="20"/>
                <w:szCs w:val="20"/>
              </w:rPr>
            </w:pPr>
          </w:p>
        </w:tc>
      </w:tr>
      <w:tr w14:paraId="5034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15A6C389">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2E09AB6E">
            <w:pPr>
              <w:spacing w:line="360" w:lineRule="auto"/>
              <w:jc w:val="center"/>
              <w:rPr>
                <w:rFonts w:asciiTheme="minorEastAsia" w:hAnsiTheme="minorEastAsia"/>
                <w:color w:val="auto"/>
                <w:sz w:val="20"/>
                <w:szCs w:val="20"/>
              </w:rPr>
            </w:pPr>
          </w:p>
        </w:tc>
        <w:tc>
          <w:tcPr>
            <w:tcW w:w="1063" w:type="pct"/>
            <w:vAlign w:val="center"/>
          </w:tcPr>
          <w:p w14:paraId="4DF3C53B">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双轮</w:t>
            </w:r>
          </w:p>
        </w:tc>
        <w:tc>
          <w:tcPr>
            <w:tcW w:w="2001" w:type="pct"/>
            <w:vAlign w:val="center"/>
          </w:tcPr>
          <w:p w14:paraId="1ABF79BB">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山东双轮股份有限公司</w:t>
            </w:r>
          </w:p>
        </w:tc>
        <w:tc>
          <w:tcPr>
            <w:tcW w:w="542" w:type="pct"/>
            <w:vAlign w:val="center"/>
          </w:tcPr>
          <w:p w14:paraId="7A9BC3D3">
            <w:pPr>
              <w:spacing w:line="360" w:lineRule="auto"/>
              <w:jc w:val="center"/>
              <w:rPr>
                <w:rFonts w:asciiTheme="minorEastAsia" w:hAnsiTheme="minorEastAsia"/>
                <w:color w:val="auto"/>
                <w:sz w:val="20"/>
                <w:szCs w:val="20"/>
              </w:rPr>
            </w:pPr>
          </w:p>
        </w:tc>
      </w:tr>
      <w:tr w14:paraId="5B96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01671D4E">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730526CA">
            <w:pPr>
              <w:spacing w:line="360" w:lineRule="auto"/>
              <w:jc w:val="center"/>
              <w:rPr>
                <w:rFonts w:asciiTheme="minorEastAsia" w:hAnsiTheme="minorEastAsia"/>
                <w:color w:val="auto"/>
                <w:sz w:val="20"/>
                <w:szCs w:val="20"/>
              </w:rPr>
            </w:pPr>
          </w:p>
        </w:tc>
        <w:tc>
          <w:tcPr>
            <w:tcW w:w="1063" w:type="pct"/>
            <w:vAlign w:val="center"/>
          </w:tcPr>
          <w:p w14:paraId="1DA04EE2">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ALINE</w:t>
            </w:r>
          </w:p>
        </w:tc>
        <w:tc>
          <w:tcPr>
            <w:tcW w:w="2001" w:type="pct"/>
            <w:vAlign w:val="center"/>
          </w:tcPr>
          <w:p w14:paraId="0747F380">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 xml:space="preserve">安徽莱恩电泵有限公司 </w:t>
            </w:r>
          </w:p>
        </w:tc>
        <w:tc>
          <w:tcPr>
            <w:tcW w:w="542" w:type="pct"/>
            <w:vAlign w:val="center"/>
          </w:tcPr>
          <w:p w14:paraId="0586653F">
            <w:pPr>
              <w:spacing w:line="360" w:lineRule="auto"/>
              <w:jc w:val="center"/>
              <w:rPr>
                <w:rFonts w:asciiTheme="minorEastAsia" w:hAnsiTheme="minorEastAsia"/>
                <w:color w:val="auto"/>
                <w:sz w:val="20"/>
                <w:szCs w:val="20"/>
              </w:rPr>
            </w:pPr>
          </w:p>
        </w:tc>
      </w:tr>
      <w:tr w14:paraId="33F0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3A2A9865">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45D104F0">
            <w:pPr>
              <w:spacing w:line="360" w:lineRule="auto"/>
              <w:jc w:val="center"/>
              <w:rPr>
                <w:rFonts w:asciiTheme="minorEastAsia" w:hAnsiTheme="minorEastAsia"/>
                <w:color w:val="auto"/>
                <w:sz w:val="20"/>
                <w:szCs w:val="20"/>
              </w:rPr>
            </w:pPr>
          </w:p>
        </w:tc>
        <w:tc>
          <w:tcPr>
            <w:tcW w:w="1063" w:type="pct"/>
            <w:vAlign w:val="center"/>
          </w:tcPr>
          <w:p w14:paraId="6B17BF07">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南方泵业</w:t>
            </w:r>
          </w:p>
        </w:tc>
        <w:tc>
          <w:tcPr>
            <w:tcW w:w="2001" w:type="pct"/>
            <w:vAlign w:val="center"/>
          </w:tcPr>
          <w:p w14:paraId="65EC7D95">
            <w:pPr>
              <w:spacing w:line="360" w:lineRule="auto"/>
              <w:jc w:val="center"/>
              <w:rPr>
                <w:rFonts w:hint="eastAsia" w:asciiTheme="minorEastAsia" w:hAnsiTheme="minorEastAsia"/>
                <w:color w:val="auto"/>
                <w:sz w:val="20"/>
                <w:szCs w:val="20"/>
              </w:rPr>
            </w:pPr>
            <w:r>
              <w:rPr>
                <w:rFonts w:hint="eastAsia" w:asciiTheme="minorEastAsia" w:hAnsiTheme="minorEastAsia"/>
                <w:color w:val="auto"/>
                <w:sz w:val="20"/>
                <w:szCs w:val="20"/>
              </w:rPr>
              <w:t>南方泵业股份有限公司</w:t>
            </w:r>
          </w:p>
        </w:tc>
        <w:tc>
          <w:tcPr>
            <w:tcW w:w="542" w:type="pct"/>
            <w:vAlign w:val="center"/>
          </w:tcPr>
          <w:p w14:paraId="7B8B6120">
            <w:pPr>
              <w:spacing w:line="360" w:lineRule="auto"/>
              <w:jc w:val="center"/>
              <w:rPr>
                <w:rFonts w:asciiTheme="minorEastAsia" w:hAnsiTheme="minorEastAsia"/>
                <w:color w:val="auto"/>
                <w:sz w:val="20"/>
                <w:szCs w:val="20"/>
              </w:rPr>
            </w:pPr>
          </w:p>
        </w:tc>
      </w:tr>
    </w:tbl>
    <w:p w14:paraId="16B2DFEA">
      <w:pPr>
        <w:keepNext w:val="0"/>
        <w:keepLines w:val="0"/>
        <w:pageBreakBefore w:val="0"/>
        <w:widowControl w:val="0"/>
        <w:kinsoku/>
        <w:wordWrap/>
        <w:overflowPunct/>
        <w:topLinePunct w:val="0"/>
        <w:autoSpaceDE/>
        <w:autoSpaceDN/>
        <w:bidi w:val="0"/>
        <w:adjustRightInd/>
        <w:snapToGrid/>
        <w:jc w:val="left"/>
        <w:textAlignment w:val="auto"/>
        <w:rPr>
          <w:color w:val="auto"/>
        </w:rPr>
      </w:pPr>
    </w:p>
    <w:p w14:paraId="44F2987A">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2、主要材料技术标准和质量要求如下：</w:t>
      </w:r>
    </w:p>
    <w:p w14:paraId="349D5429">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1B229A26">
      <w:pPr>
        <w:numPr>
          <w:ilvl w:val="0"/>
          <w:numId w:val="2"/>
        </w:numPr>
        <w:spacing w:line="360" w:lineRule="auto"/>
        <w:ind w:firstLine="442" w:firstLineChars="200"/>
        <w:rPr>
          <w:rFonts w:hint="eastAsia" w:asciiTheme="minorEastAsia" w:hAnsiTheme="minorEastAsia"/>
          <w:b/>
          <w:color w:val="auto"/>
          <w:sz w:val="22"/>
        </w:rPr>
      </w:pPr>
      <w:r>
        <w:rPr>
          <w:rFonts w:hint="eastAsia" w:asciiTheme="minorEastAsia" w:hAnsiTheme="minorEastAsia"/>
          <w:b/>
          <w:color w:val="auto"/>
          <w:sz w:val="22"/>
        </w:rPr>
        <w:t>招标人自行采购的主要材料设备</w:t>
      </w:r>
    </w:p>
    <w:p w14:paraId="097CA447">
      <w:pPr>
        <w:spacing w:line="360" w:lineRule="auto"/>
        <w:ind w:firstLine="440" w:firstLineChars="200"/>
        <w:rPr>
          <w:rFonts w:hint="eastAsia" w:asciiTheme="minorEastAsia" w:hAnsiTheme="minorEastAsia"/>
          <w:b/>
          <w:sz w:val="22"/>
          <w:lang w:val="en-US" w:eastAsia="zh-CN"/>
        </w:rPr>
      </w:pPr>
      <w:r>
        <w:rPr>
          <w:rFonts w:hint="eastAsia" w:asciiTheme="minorEastAsia" w:hAnsiTheme="minorEastAsia"/>
          <w:b w:val="0"/>
          <w:bCs/>
          <w:color w:val="auto"/>
          <w:sz w:val="22"/>
          <w:lang w:val="en-US" w:eastAsia="zh-CN"/>
        </w:rPr>
        <w:t xml:space="preserve"> 详见招标清单</w:t>
      </w:r>
    </w:p>
    <w:p w14:paraId="50074B73">
      <w:pPr>
        <w:spacing w:line="360" w:lineRule="auto"/>
        <w:ind w:firstLine="442" w:firstLineChars="200"/>
        <w:rPr>
          <w:rFonts w:asciiTheme="minorEastAsia" w:hAnsiTheme="minorEastAsia"/>
          <w:b/>
          <w:sz w:val="22"/>
        </w:rPr>
      </w:pPr>
      <w:r>
        <w:rPr>
          <w:rFonts w:hint="eastAsia" w:asciiTheme="minorEastAsia" w:hAnsiTheme="minorEastAsia"/>
          <w:b/>
          <w:sz w:val="22"/>
          <w:lang w:val="en-US" w:eastAsia="zh-CN"/>
        </w:rPr>
        <w:t>七</w:t>
      </w:r>
      <w:r>
        <w:rPr>
          <w:rFonts w:hint="eastAsia" w:asciiTheme="minorEastAsia" w:hAnsiTheme="minorEastAsia"/>
          <w:b/>
          <w:sz w:val="22"/>
        </w:rPr>
        <w:t>、其他说明</w:t>
      </w:r>
    </w:p>
    <w:p w14:paraId="10AC0B75">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0C7D9F99">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46F90EB8">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056F2564">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4D89E4BB">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3171F13C">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02B6BA72">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7CF6DC6E">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784B6B9D">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17793499">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6AA46114">
      <w:pPr>
        <w:spacing w:line="360" w:lineRule="auto"/>
        <w:ind w:firstLine="440" w:firstLineChars="200"/>
        <w:rPr>
          <w:rFonts w:hint="eastAsia"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14:paraId="430F5D30">
      <w:pPr>
        <w:spacing w:line="360" w:lineRule="auto"/>
        <w:ind w:firstLine="442" w:firstLineChars="200"/>
        <w:rPr>
          <w:rFonts w:hint="eastAsia" w:asciiTheme="minorEastAsia" w:hAnsiTheme="minorEastAsia" w:eastAsiaTheme="minorEastAsia"/>
          <w:b/>
          <w:bCs/>
          <w:sz w:val="22"/>
          <w:lang w:eastAsia="zh-CN"/>
        </w:rPr>
      </w:pPr>
      <w:r>
        <w:rPr>
          <w:rFonts w:hint="eastAsia" w:asciiTheme="minorEastAsia" w:hAnsiTheme="minorEastAsia"/>
          <w:b/>
          <w:bCs/>
          <w:sz w:val="22"/>
          <w:lang w:val="en-US" w:eastAsia="zh-CN"/>
        </w:rPr>
        <w:t>6、</w:t>
      </w:r>
      <w:r>
        <w:rPr>
          <w:rFonts w:hint="eastAsia" w:asciiTheme="minorEastAsia" w:hAnsiTheme="minorEastAsia"/>
          <w:b/>
          <w:bCs/>
          <w:sz w:val="22"/>
        </w:rPr>
        <w:t>负责人防工程防护设备产品的生产商和安装单位应具有国家人民防空办公室颁发的人防工程防护设备生产安装行政许可资质并具备相应的服务能力（提供资格认定证书复印件加盖投标人公章，若为代理商的还需提供设备合法来源证明&lt;包括但不限于制造商的授权书等&gt;）</w:t>
      </w:r>
      <w:r>
        <w:rPr>
          <w:rFonts w:hint="eastAsia" w:asciiTheme="minorEastAsia" w:hAnsiTheme="minorEastAsia"/>
          <w:b/>
          <w:bCs/>
          <w:sz w:val="22"/>
          <w:lang w:eastAsia="zh-CN"/>
        </w:rPr>
        <w:t>。</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NGI2M2M4NDM4ZjYyZDcyMDhkYzkzODYxMzA4Mzk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29754E28"/>
    <w:rsid w:val="303D78E2"/>
    <w:rsid w:val="326D1651"/>
    <w:rsid w:val="4C9D194C"/>
    <w:rsid w:val="617B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2467</Words>
  <Characters>2553</Characters>
  <Lines>19</Lines>
  <Paragraphs>5</Paragraphs>
  <TotalTime>220</TotalTime>
  <ScaleCrop>false</ScaleCrop>
  <LinksUpToDate>false</LinksUpToDate>
  <CharactersWithSpaces>2557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HC</cp:lastModifiedBy>
  <dcterms:modified xsi:type="dcterms:W3CDTF">2024-09-20T06:09:26Z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011966C106794F5F8DECD56742A97AEB_12</vt:lpwstr>
  </property>
</Properties>
</file>