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C8263">
      <w:pPr>
        <w:jc w:val="center"/>
        <w:rPr>
          <w:b/>
          <w:sz w:val="32"/>
          <w:szCs w:val="32"/>
        </w:rPr>
      </w:pPr>
      <w:r>
        <w:rPr>
          <w:rFonts w:hint="eastAsia"/>
          <w:b/>
          <w:sz w:val="32"/>
          <w:szCs w:val="32"/>
        </w:rPr>
        <w:t>招标工程量清单编制说明</w:t>
      </w:r>
    </w:p>
    <w:p w14:paraId="36C8A103">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14:paraId="2F61C534">
      <w:pPr>
        <w:spacing w:line="360" w:lineRule="auto"/>
        <w:ind w:firstLine="442" w:firstLineChars="200"/>
        <w:rPr>
          <w:rFonts w:hint="eastAsia" w:asciiTheme="minorEastAsia" w:hAnsiTheme="minorEastAsia"/>
          <w:color w:val="FF0000"/>
          <w:sz w:val="22"/>
        </w:rPr>
      </w:pPr>
      <w:r>
        <w:rPr>
          <w:rFonts w:hint="eastAsia" w:asciiTheme="minorEastAsia" w:hAnsiTheme="minorEastAsia"/>
          <w:b/>
          <w:i/>
          <w:color w:val="FF0000"/>
          <w:sz w:val="22"/>
          <w:u w:val="single"/>
          <w:lang w:val="en-US" w:eastAsia="zh-CN"/>
        </w:rPr>
        <w:t>本项目为仙林校区变电所内低压开关柜多功能仪表的维修更换工程。项目共涉及31座变电所内228块低压多功能仪表的拆换和调试，并需提供通讯规约确保后台数据传输正常</w:t>
      </w:r>
    </w:p>
    <w:p w14:paraId="5525B74D">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14:paraId="7C62E02D">
      <w:pPr>
        <w:spacing w:line="360" w:lineRule="auto"/>
        <w:ind w:firstLine="440" w:firstLineChars="200"/>
        <w:rPr>
          <w:rFonts w:asciiTheme="minorEastAsia" w:hAnsiTheme="minorEastAsia"/>
          <w:b/>
          <w:i/>
          <w:color w:val="FF0000"/>
          <w:sz w:val="22"/>
          <w:u w:val="single"/>
        </w:rPr>
      </w:pPr>
      <w:r>
        <w:rPr>
          <w:rFonts w:hint="eastAsia" w:asciiTheme="minorEastAsia" w:hAnsiTheme="minorEastAsia"/>
          <w:color w:val="FF0000"/>
          <w:sz w:val="22"/>
        </w:rPr>
        <w:t>①提前根据招标清单购置仪表到现场；②根据甲方停电安排分批次拆换仪表，并完成安装调试。③提供通讯协议配合接入现有配网系统，确保数据传输正常。④完成其他设备配套施工技术措施及安全防护工作。</w:t>
      </w:r>
    </w:p>
    <w:p w14:paraId="03F52420">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14:paraId="4CB809D5">
      <w:pPr>
        <w:spacing w:line="360" w:lineRule="auto"/>
        <w:ind w:firstLine="440" w:firstLineChars="200"/>
        <w:rPr>
          <w:rFonts w:hint="eastAsia" w:asciiTheme="minorEastAsia" w:hAnsiTheme="minorEastAsia"/>
          <w:sz w:val="22"/>
        </w:rPr>
      </w:pPr>
      <w:r>
        <w:rPr>
          <w:rFonts w:hint="eastAsia" w:asciiTheme="minorEastAsia" w:hAnsiTheme="minorEastAsia"/>
          <w:sz w:val="22"/>
        </w:rPr>
        <w:t>1、</w:t>
      </w:r>
      <w:r>
        <w:rPr>
          <w:rFonts w:hint="eastAsia" w:asciiTheme="minorEastAsia" w:hAnsiTheme="minorEastAsia"/>
          <w:color w:val="FF0000"/>
          <w:sz w:val="22"/>
          <w:lang w:val="en-US" w:eastAsia="zh-CN"/>
        </w:rPr>
        <w:t>现场实际查看情况</w:t>
      </w:r>
      <w:r>
        <w:rPr>
          <w:rFonts w:hint="eastAsia" w:asciiTheme="minorEastAsia" w:hAnsiTheme="minorEastAsia"/>
          <w:sz w:val="22"/>
        </w:rPr>
        <w:t>。</w:t>
      </w:r>
    </w:p>
    <w:p w14:paraId="3E9AFA5F">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14:paraId="22E67DC5">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①《通用安装工程工程量计算规范》（GB50856-2013）</w:t>
      </w:r>
    </w:p>
    <w:p w14:paraId="00CF3620">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②现行相关补充或调整文件</w:t>
      </w:r>
    </w:p>
    <w:p w14:paraId="47E5FCA8">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14:paraId="76F84767">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14:paraId="58275508">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14:paraId="05F9FBC6">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14:paraId="2C24CA33">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14:paraId="04FCFA87">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4、《省住房城乡建设厅关于建筑工人实名制费用计取方法的公告》〔2019〕第19号</w:t>
      </w:r>
    </w:p>
    <w:p w14:paraId="7349D631">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5、依据《建设工程计价设备材料划分标准》（GB/T50531-2009）划分的设备以设备形式计入且不计取总价措施费及规费。</w:t>
      </w:r>
    </w:p>
    <w:p w14:paraId="742FEBEA">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14:paraId="52ED276A">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14:paraId="3FB87D4D">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14:paraId="292AF1E2">
      <w:pPr>
        <w:spacing w:line="360" w:lineRule="auto"/>
        <w:ind w:firstLine="440" w:firstLineChars="200"/>
        <w:rPr>
          <w:rFonts w:asciiTheme="minorEastAsia" w:hAnsiTheme="minorEastAsia"/>
          <w:b/>
          <w:color w:val="00B0F0"/>
          <w:sz w:val="22"/>
        </w:rPr>
      </w:pPr>
      <w:r>
        <w:rPr>
          <w:rFonts w:hint="eastAsia" w:asciiTheme="minorEastAsia" w:hAnsiTheme="minorEastAsia"/>
          <w:color w:val="00B0F0"/>
          <w:sz w:val="22"/>
        </w:rPr>
        <w:t>（1）暂列金额：</w:t>
      </w:r>
      <w:bookmarkStart w:id="0" w:name="_GoBack"/>
      <w:r>
        <w:rPr>
          <w:rFonts w:hint="eastAsia" w:asciiTheme="minorEastAsia" w:hAnsiTheme="minorEastAsia"/>
          <w:color w:val="FF0000"/>
          <w:sz w:val="22"/>
          <w:lang w:val="en-US" w:eastAsia="zh-CN"/>
        </w:rPr>
        <w:t>24483.73</w:t>
      </w:r>
      <w:bookmarkEnd w:id="0"/>
      <w:r>
        <w:rPr>
          <w:rFonts w:hint="eastAsia" w:asciiTheme="minorEastAsia" w:hAnsiTheme="minorEastAsia"/>
          <w:color w:val="FF0000"/>
          <w:sz w:val="22"/>
          <w:lang w:val="en-US" w:eastAsia="zh-CN"/>
        </w:rPr>
        <w:t>元（不含税）</w:t>
      </w:r>
      <w:r>
        <w:rPr>
          <w:rFonts w:hint="eastAsia" w:asciiTheme="minorEastAsia" w:hAnsiTheme="minorEastAsia"/>
          <w:color w:val="FF0000"/>
          <w:sz w:val="22"/>
        </w:rPr>
        <w:t>。</w:t>
      </w:r>
    </w:p>
    <w:p w14:paraId="40E4A825">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（2）暂估价：</w:t>
      </w:r>
      <w:r>
        <w:rPr>
          <w:rFonts w:hint="eastAsia" w:asciiTheme="minorEastAsia" w:hAnsiTheme="minorEastAsia"/>
          <w:color w:val="FF0000"/>
          <w:sz w:val="22"/>
          <w:lang w:eastAsia="zh-CN"/>
        </w:rPr>
        <w:t>无</w:t>
      </w:r>
      <w:r>
        <w:rPr>
          <w:rFonts w:hint="eastAsia" w:asciiTheme="minorEastAsia" w:hAnsiTheme="minorEastAsia"/>
          <w:color w:val="FF0000"/>
          <w:sz w:val="22"/>
        </w:rPr>
        <w:t>。</w:t>
      </w:r>
    </w:p>
    <w:p w14:paraId="3FE11C16">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14:paraId="67A353BD">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（1）投标人在投标报价时结合现场实际情况考虑夜间施工及围挡防护安全，结算时不再调整；</w:t>
      </w:r>
    </w:p>
    <w:p w14:paraId="3CBF0C43">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（2）措施费项目投标单位可自行增添内容，自行报价，未计放部分按优惠考虑，结算时不再调整，投标人在报价中应充分考虑所涉及的各项措施费及风险因素后再进行报价，不可竞争费按规定报价；</w:t>
      </w:r>
    </w:p>
    <w:p w14:paraId="5CF73ECA">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（3）施工现场、交通运输情况及自然地理条件由投标人自行现场勘察，应充分考虑本工程场地现状的特点，可能对工程施工造成的影响并由此增加的费用等，做出考量一并考虑在投标报价中；</w:t>
      </w:r>
    </w:p>
    <w:p w14:paraId="0288186F">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（4）清单中项目特征描述不详处，以图纸为准，投标报价时应综合考虑施工过程中涉及到的所有工序内容，包括但不限于材料、构配件的检测检验；</w:t>
      </w:r>
    </w:p>
    <w:p w14:paraId="10FABCC9">
      <w:pPr>
        <w:spacing w:line="360" w:lineRule="auto"/>
        <w:ind w:firstLine="440" w:firstLineChars="200"/>
        <w:rPr>
          <w:rFonts w:hint="eastAsia" w:asciiTheme="minorEastAsia" w:hAnsiTheme="minorEastAsia"/>
          <w:color w:val="00B0F0"/>
          <w:sz w:val="22"/>
        </w:rPr>
      </w:pPr>
      <w:r>
        <w:rPr>
          <w:rFonts w:hint="eastAsia" w:asciiTheme="minorEastAsia" w:hAnsiTheme="minorEastAsia"/>
          <w:color w:val="00B0F0"/>
          <w:sz w:val="22"/>
        </w:rPr>
        <w:t>（5）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14:paraId="6DF83C90">
      <w:pPr>
        <w:spacing w:line="360" w:lineRule="auto"/>
        <w:ind w:firstLine="440" w:firstLineChars="200"/>
        <w:rPr>
          <w:rFonts w:hint="eastAsia" w:asciiTheme="minorEastAsia" w:hAnsiTheme="minorEastAsia" w:eastAsiaTheme="minorEastAsia"/>
          <w:color w:val="00B0F0"/>
          <w:sz w:val="22"/>
          <w:lang w:eastAsia="zh-CN"/>
        </w:rPr>
      </w:pPr>
      <w:r>
        <w:rPr>
          <w:rFonts w:hint="eastAsia" w:asciiTheme="minorEastAsia" w:hAnsiTheme="minorEastAsia"/>
          <w:color w:val="00B0F0"/>
          <w:sz w:val="22"/>
        </w:rPr>
        <w:t>（6）清单中所有的材料（包含设备）的型号和规格都摘录自图纸中，如型号或规格涉及指定某品牌的产品则说明此材料（包含设备）的参数参照此产品，不作为品牌要求的依据，详细的品牌需参照甲方提供的品牌表</w:t>
      </w:r>
      <w:r>
        <w:rPr>
          <w:rFonts w:hint="eastAsia" w:asciiTheme="minorEastAsia" w:hAnsiTheme="minorEastAsia"/>
          <w:color w:val="00B0F0"/>
          <w:sz w:val="22"/>
          <w:lang w:eastAsia="zh-CN"/>
        </w:rPr>
        <w:t>；</w:t>
      </w:r>
    </w:p>
    <w:p w14:paraId="51B59DF0">
      <w:pPr>
        <w:spacing w:line="360" w:lineRule="auto"/>
        <w:ind w:firstLine="440" w:firstLineChars="200"/>
        <w:rPr>
          <w:rFonts w:hint="eastAsia" w:asciiTheme="minorEastAsia" w:hAnsiTheme="minorEastAsia"/>
          <w:color w:val="00B0F0"/>
          <w:sz w:val="22"/>
          <w:lang w:val="en-US" w:eastAsia="zh-CN"/>
        </w:rPr>
      </w:pP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7</w:t>
      </w:r>
      <w:r>
        <w:rPr>
          <w:rFonts w:hint="eastAsia" w:asciiTheme="minorEastAsia" w:hAnsiTheme="minorEastAsia"/>
          <w:color w:val="00B0F0"/>
          <w:sz w:val="22"/>
          <w:lang w:eastAsia="zh-CN"/>
        </w:rPr>
        <w:t>）</w:t>
      </w:r>
      <w:r>
        <w:rPr>
          <w:rFonts w:hint="eastAsia" w:asciiTheme="minorEastAsia" w:hAnsiTheme="minorEastAsia"/>
          <w:color w:val="00B0F0"/>
          <w:sz w:val="22"/>
          <w:lang w:val="en-US" w:eastAsia="zh-CN"/>
        </w:rPr>
        <w:t>多功能表计更换后要保证系统正常运行，相关调试费用投标人综合考虑在投标报价中，结算时不另行增加；</w:t>
      </w:r>
    </w:p>
    <w:p w14:paraId="5F157459">
      <w:pPr>
        <w:spacing w:line="360" w:lineRule="auto"/>
        <w:ind w:firstLine="440" w:firstLineChars="200"/>
        <w:rPr>
          <w:rFonts w:hint="eastAsia" w:asciiTheme="minorEastAsia" w:hAnsiTheme="minorEastAsia"/>
          <w:color w:val="00B0F0"/>
          <w:sz w:val="22"/>
          <w:lang w:val="en-US" w:eastAsia="zh-CN"/>
        </w:rPr>
      </w:pPr>
      <w:r>
        <w:rPr>
          <w:rFonts w:hint="eastAsia" w:asciiTheme="minorEastAsia" w:hAnsiTheme="minorEastAsia"/>
          <w:color w:val="00B0F0"/>
          <w:sz w:val="22"/>
          <w:lang w:val="en-US" w:eastAsia="zh-CN"/>
        </w:rPr>
        <w:t>（8）清单项包含原设备的拆除、新设备的安装、内部线路整理、接线和调试等所有工作，结算时不做调整；</w:t>
      </w:r>
    </w:p>
    <w:p w14:paraId="66E766BE">
      <w:pPr>
        <w:spacing w:line="360" w:lineRule="auto"/>
        <w:ind w:firstLine="440" w:firstLineChars="200"/>
        <w:rPr>
          <w:rFonts w:hint="default" w:asciiTheme="minorEastAsia" w:hAnsiTheme="minorEastAsia"/>
          <w:color w:val="00B0F0"/>
          <w:sz w:val="22"/>
          <w:lang w:val="en-US" w:eastAsia="zh-CN"/>
        </w:rPr>
      </w:pPr>
      <w:r>
        <w:rPr>
          <w:rFonts w:hint="eastAsia" w:asciiTheme="minorEastAsia" w:hAnsiTheme="minorEastAsia"/>
          <w:color w:val="00B0F0"/>
          <w:sz w:val="22"/>
          <w:lang w:val="en-US" w:eastAsia="zh-CN"/>
        </w:rPr>
        <w:t>（9）投标人需要综合考虑新建设备的尺寸，如涉及开孔需要总包考虑的报价中，不单独计算费用。</w:t>
      </w:r>
    </w:p>
    <w:p w14:paraId="7777C9DF">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14:paraId="03601321">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14:paraId="3311A559">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0CF09DA0">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43"/>
        <w:gridCol w:w="2410"/>
        <w:gridCol w:w="2410"/>
        <w:gridCol w:w="1184"/>
      </w:tblGrid>
      <w:tr w14:paraId="3372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0DEC59BB">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843" w:type="dxa"/>
          </w:tcPr>
          <w:p w14:paraId="492E72BD">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2410" w:type="dxa"/>
          </w:tcPr>
          <w:p w14:paraId="22EF4431">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410" w:type="dxa"/>
          </w:tcPr>
          <w:p w14:paraId="7D07BE64">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1184" w:type="dxa"/>
          </w:tcPr>
          <w:p w14:paraId="3FD94E4B">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14:paraId="43B3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0486FFC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w:t>
            </w:r>
          </w:p>
        </w:tc>
        <w:tc>
          <w:tcPr>
            <w:tcW w:w="1843" w:type="dxa"/>
            <w:vMerge w:val="restart"/>
            <w:vAlign w:val="center"/>
          </w:tcPr>
          <w:p w14:paraId="57DDA4E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数字式多功能仪表</w:t>
            </w:r>
          </w:p>
        </w:tc>
        <w:tc>
          <w:tcPr>
            <w:tcW w:w="2410" w:type="dxa"/>
            <w:vAlign w:val="center"/>
          </w:tcPr>
          <w:p w14:paraId="210F4F3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安科瑞</w:t>
            </w:r>
          </w:p>
        </w:tc>
        <w:tc>
          <w:tcPr>
            <w:tcW w:w="2410" w:type="dxa"/>
            <w:vAlign w:val="center"/>
          </w:tcPr>
          <w:p w14:paraId="1775B74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"供应商基本信息\\安科瑞电气股份有限公司"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 xml:space="preserve"> 安科瑞电气股份有限公司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14:paraId="09E44FB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225B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80B2BF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843" w:type="dxa"/>
            <w:vMerge w:val="continue"/>
            <w:vAlign w:val="center"/>
          </w:tcPr>
          <w:p w14:paraId="21D6BDC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2410" w:type="dxa"/>
            <w:vAlign w:val="center"/>
          </w:tcPr>
          <w:p w14:paraId="54BD5FC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派诺</w:t>
            </w:r>
          </w:p>
        </w:tc>
        <w:tc>
          <w:tcPr>
            <w:tcW w:w="2410" w:type="dxa"/>
            <w:vAlign w:val="center"/>
          </w:tcPr>
          <w:p w14:paraId="57E2569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"供应商基本信息\\珠海派诺科技股份有限公司"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珠海派诺科技股份有限公司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14:paraId="45F3FAA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1519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675" w:type="dxa"/>
            <w:vMerge w:val="continue"/>
            <w:vAlign w:val="center"/>
          </w:tcPr>
          <w:p w14:paraId="42A5B70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843" w:type="dxa"/>
            <w:vMerge w:val="continue"/>
            <w:vAlign w:val="center"/>
          </w:tcPr>
          <w:p w14:paraId="6D30290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2410" w:type="dxa"/>
            <w:vAlign w:val="center"/>
          </w:tcPr>
          <w:p w14:paraId="664F00A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雅达</w:t>
            </w:r>
          </w:p>
        </w:tc>
        <w:tc>
          <w:tcPr>
            <w:tcW w:w="2410" w:type="dxa"/>
            <w:vAlign w:val="center"/>
          </w:tcPr>
          <w:p w14:paraId="5F04E28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fldChar w:fldCharType="begin"/>
            </w:r>
            <w:r>
              <w:rPr>
                <w:rFonts w:hint="eastAsia" w:ascii="宋体" w:hAnsi="宋体" w:eastAsia="宋体" w:cs="宋体"/>
                <w:b w:val="0"/>
                <w:bCs w:val="0"/>
                <w:i w:val="0"/>
                <w:iCs w:val="0"/>
                <w:color w:val="000000"/>
                <w:kern w:val="0"/>
                <w:sz w:val="20"/>
                <w:szCs w:val="20"/>
                <w:u w:val="none"/>
                <w:lang w:val="en-US" w:eastAsia="zh-CN" w:bidi="ar"/>
              </w:rPr>
              <w:instrText xml:space="preserve"> HYPERLINK "供应商基本信息\\广东雅达电子股份有限公司" </w:instrText>
            </w:r>
            <w:r>
              <w:rPr>
                <w:rFonts w:hint="eastAsia" w:ascii="宋体" w:hAnsi="宋体" w:eastAsia="宋体" w:cs="宋体"/>
                <w:b w:val="0"/>
                <w:bCs w:val="0"/>
                <w:i w:val="0"/>
                <w:iCs w:val="0"/>
                <w:color w:val="000000"/>
                <w:kern w:val="0"/>
                <w:sz w:val="20"/>
                <w:szCs w:val="20"/>
                <w:u w:val="none"/>
                <w:lang w:val="en-US" w:eastAsia="zh-CN" w:bidi="ar"/>
              </w:rPr>
              <w:fldChar w:fldCharType="separate"/>
            </w:r>
            <w:r>
              <w:rPr>
                <w:rFonts w:hint="eastAsia" w:ascii="宋体" w:hAnsi="宋体" w:eastAsia="宋体" w:cs="宋体"/>
                <w:b w:val="0"/>
                <w:bCs w:val="0"/>
                <w:i w:val="0"/>
                <w:iCs w:val="0"/>
                <w:color w:val="000000"/>
                <w:kern w:val="0"/>
                <w:sz w:val="20"/>
                <w:szCs w:val="20"/>
                <w:u w:val="none"/>
                <w:lang w:val="en-US" w:eastAsia="zh-CN" w:bidi="ar"/>
              </w:rPr>
              <w:t>广东雅达电子股份有限公司</w:t>
            </w:r>
            <w:r>
              <w:rPr>
                <w:rFonts w:hint="eastAsia" w:ascii="宋体" w:hAnsi="宋体" w:eastAsia="宋体" w:cs="宋体"/>
                <w:b w:val="0"/>
                <w:bCs w:val="0"/>
                <w:i w:val="0"/>
                <w:iCs w:val="0"/>
                <w:color w:val="000000"/>
                <w:kern w:val="0"/>
                <w:sz w:val="20"/>
                <w:szCs w:val="20"/>
                <w:u w:val="none"/>
                <w:lang w:val="en-US" w:eastAsia="zh-CN" w:bidi="ar"/>
              </w:rPr>
              <w:fldChar w:fldCharType="end"/>
            </w:r>
          </w:p>
        </w:tc>
        <w:tc>
          <w:tcPr>
            <w:tcW w:w="1184" w:type="dxa"/>
            <w:vAlign w:val="center"/>
          </w:tcPr>
          <w:p w14:paraId="7800C1E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0"/>
                <w:szCs w:val="20"/>
                <w:u w:val="none"/>
                <w:lang w:val="en-US" w:eastAsia="zh-CN" w:bidi="ar"/>
              </w:rPr>
            </w:pPr>
          </w:p>
        </w:tc>
      </w:tr>
    </w:tbl>
    <w:p w14:paraId="37E95D59">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14:paraId="6EDACCBC">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35034304">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14:paraId="752281E9">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3648837F">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6F295C52">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14:paraId="2BE54500">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14:paraId="39DD840C">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14:paraId="48220F7B">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14:paraId="5EFBCAE3">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14:paraId="02D45414">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14:paraId="6FF7A4FF">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14:paraId="6DA4996B">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53F337BF">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Y2YzMDhhODhjNjlhMGUyNjhiZmE2MDc5MDk1ZTU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3FE67C2"/>
    <w:rsid w:val="06F2361A"/>
    <w:rsid w:val="0A72479A"/>
    <w:rsid w:val="1EF4654F"/>
    <w:rsid w:val="345D4801"/>
    <w:rsid w:val="45CB1921"/>
    <w:rsid w:val="71D4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2552</Words>
  <Characters>2611</Characters>
  <Lines>19</Lines>
  <Paragraphs>5</Paragraphs>
  <TotalTime>0</TotalTime>
  <ScaleCrop>false</ScaleCrop>
  <LinksUpToDate>false</LinksUpToDate>
  <CharactersWithSpaces>2613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沈兵</cp:lastModifiedBy>
  <dcterms:modified xsi:type="dcterms:W3CDTF">2024-08-15T07:13:53Z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077A773D5C8D4C489CB6D70DF90C005A_12</vt:lpwstr>
  </property>
</Properties>
</file>