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4369A">
      <w:pPr>
        <w:jc w:val="center"/>
        <w:rPr>
          <w:b/>
          <w:sz w:val="32"/>
          <w:szCs w:val="32"/>
        </w:rPr>
      </w:pPr>
      <w:r>
        <w:rPr>
          <w:rFonts w:hint="eastAsia"/>
          <w:b/>
          <w:sz w:val="32"/>
          <w:szCs w:val="32"/>
        </w:rPr>
        <w:t>招标工程量清单编制说明</w:t>
      </w:r>
    </w:p>
    <w:p w14:paraId="3A3F5EBD">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14:paraId="26FEBC7F">
      <w:pPr>
        <w:spacing w:line="360" w:lineRule="auto"/>
        <w:ind w:firstLine="440" w:firstLineChars="200"/>
        <w:rPr>
          <w:sz w:val="22"/>
        </w:rPr>
      </w:pPr>
      <w:r>
        <w:rPr>
          <w:rFonts w:hint="eastAsia"/>
          <w:sz w:val="22"/>
        </w:rPr>
        <w:t>本项目为</w:t>
      </w:r>
      <w:r>
        <w:rPr>
          <w:rFonts w:hint="eastAsia" w:ascii="宋体" w:hAnsi="宋体" w:eastAsia="宋体" w:cs="宋体"/>
          <w:sz w:val="22"/>
        </w:rPr>
        <w:t>南京大学仙林校区生科院通风柜风管连接改造安装工程</w:t>
      </w:r>
      <w:r>
        <w:rPr>
          <w:rFonts w:hint="eastAsia"/>
          <w:sz w:val="22"/>
        </w:rPr>
        <w:t>，项目位于南京大学仙林校区内。</w:t>
      </w:r>
    </w:p>
    <w:p w14:paraId="123E6B48">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40E768EE">
      <w:pPr>
        <w:spacing w:line="360" w:lineRule="auto"/>
        <w:ind w:firstLine="440" w:firstLineChars="200"/>
      </w:pPr>
      <w:r>
        <w:rPr>
          <w:rFonts w:hint="eastAsia"/>
          <w:sz w:val="22"/>
        </w:rPr>
        <w:t>建设单位下发的图纸中全部内容，包含但不限于生科院通风柜风管连接改造安装工程等。</w:t>
      </w:r>
    </w:p>
    <w:p w14:paraId="6FC133C3">
      <w:pPr>
        <w:spacing w:line="360" w:lineRule="auto"/>
        <w:ind w:firstLine="442" w:firstLineChars="200"/>
        <w:rPr>
          <w:rFonts w:asciiTheme="minorEastAsia" w:hAnsiTheme="minorEastAsia"/>
          <w:b/>
          <w:sz w:val="22"/>
        </w:rPr>
      </w:pPr>
      <w:r>
        <w:rPr>
          <w:rFonts w:hint="eastAsia" w:asciiTheme="minorEastAsia" w:hAnsiTheme="minorEastAsia"/>
          <w:b/>
          <w:sz w:val="22"/>
        </w:rPr>
        <w:t>三、编制依据</w:t>
      </w:r>
    </w:p>
    <w:p w14:paraId="77133A47">
      <w:pPr>
        <w:spacing w:line="360" w:lineRule="auto"/>
        <w:ind w:firstLine="440" w:firstLineChars="200"/>
        <w:rPr>
          <w:sz w:val="22"/>
        </w:rPr>
      </w:pPr>
      <w:r>
        <w:rPr>
          <w:rFonts w:hint="eastAsia"/>
          <w:sz w:val="22"/>
        </w:rPr>
        <w:t>1、建设单位下发的生科院通风柜风管连接改造</w:t>
      </w:r>
      <w:r>
        <w:rPr>
          <w:rFonts w:hint="eastAsia" w:asciiTheme="minorEastAsia" w:hAnsiTheme="minorEastAsia"/>
          <w:sz w:val="22"/>
        </w:rPr>
        <w:t>施工图及其说明</w:t>
      </w:r>
      <w:r>
        <w:rPr>
          <w:rFonts w:hint="eastAsia"/>
          <w:sz w:val="22"/>
        </w:rPr>
        <w:t>。</w:t>
      </w:r>
    </w:p>
    <w:p w14:paraId="0E366A9C">
      <w:pPr>
        <w:pStyle w:val="5"/>
        <w:widowControl/>
        <w:spacing w:beforeAutospacing="0" w:afterAutospacing="0" w:line="360" w:lineRule="auto"/>
        <w:ind w:firstLine="440" w:firstLineChars="200"/>
        <w:rPr>
          <w:sz w:val="22"/>
        </w:rPr>
      </w:pPr>
      <w:r>
        <w:rPr>
          <w:rFonts w:hint="eastAsia"/>
          <w:sz w:val="22"/>
        </w:rPr>
        <w:t>2、计量规范：</w:t>
      </w:r>
    </w:p>
    <w:p w14:paraId="5E96C5AA">
      <w:pPr>
        <w:spacing w:line="360" w:lineRule="auto"/>
        <w:ind w:firstLine="440" w:firstLineChars="200"/>
        <w:rPr>
          <w:rFonts w:asciiTheme="minorEastAsia" w:hAnsiTheme="minorEastAsia"/>
          <w:sz w:val="22"/>
        </w:rPr>
      </w:pPr>
      <w:r>
        <w:rPr>
          <w:rFonts w:hint="eastAsia" w:asciiTheme="minorEastAsia" w:hAnsiTheme="minorEastAsia"/>
          <w:sz w:val="22"/>
        </w:rPr>
        <w:t>①《建设工程工程量清单计价规范》（GB50500-2013）</w:t>
      </w:r>
    </w:p>
    <w:p w14:paraId="4E41629C">
      <w:pPr>
        <w:spacing w:line="360" w:lineRule="auto"/>
        <w:ind w:firstLine="440" w:firstLineChars="200"/>
        <w:rPr>
          <w:rFonts w:asciiTheme="minorEastAsia" w:hAnsiTheme="minorEastAsia"/>
          <w:sz w:val="22"/>
        </w:rPr>
      </w:pPr>
      <w:r>
        <w:rPr>
          <w:rFonts w:hint="eastAsia" w:asciiTheme="minorEastAsia" w:hAnsiTheme="minorEastAsia"/>
          <w:sz w:val="22"/>
        </w:rPr>
        <w:t>②《房屋建筑与装饰工程工程量计算规范》（GB50854-2013）</w:t>
      </w:r>
    </w:p>
    <w:p w14:paraId="2E12EEF8">
      <w:pPr>
        <w:spacing w:line="360" w:lineRule="auto"/>
        <w:ind w:firstLine="440" w:firstLineChars="200"/>
        <w:rPr>
          <w:rFonts w:asciiTheme="minorEastAsia" w:hAnsiTheme="minorEastAsia"/>
          <w:sz w:val="22"/>
        </w:rPr>
      </w:pPr>
      <w:r>
        <w:rPr>
          <w:rFonts w:hint="eastAsia" w:asciiTheme="minorEastAsia" w:hAnsiTheme="minorEastAsia"/>
          <w:sz w:val="22"/>
        </w:rPr>
        <w:t>③《通用安装工程工程量计算规范》（GB50856-2013）</w:t>
      </w:r>
    </w:p>
    <w:p w14:paraId="7E6C0FBB">
      <w:pPr>
        <w:spacing w:line="360" w:lineRule="auto"/>
        <w:ind w:firstLine="440" w:firstLineChars="200"/>
        <w:rPr>
          <w:rFonts w:asciiTheme="minorEastAsia" w:hAnsiTheme="minorEastAsia"/>
          <w:sz w:val="22"/>
        </w:rPr>
      </w:pPr>
      <w:r>
        <w:rPr>
          <w:rFonts w:hint="eastAsia" w:asciiTheme="minorEastAsia" w:hAnsiTheme="minorEastAsia"/>
          <w:sz w:val="22"/>
        </w:rPr>
        <w:t>④《市政工程工程量计算规范》（GB50857-2013）</w:t>
      </w:r>
    </w:p>
    <w:p w14:paraId="1EC4FBF2">
      <w:pPr>
        <w:spacing w:line="360" w:lineRule="auto"/>
        <w:ind w:firstLine="440" w:firstLineChars="200"/>
        <w:rPr>
          <w:sz w:val="22"/>
        </w:rPr>
      </w:pPr>
      <w:r>
        <w:rPr>
          <w:rFonts w:hint="eastAsia"/>
          <w:sz w:val="22"/>
        </w:rPr>
        <w:t>3、与本工程项目有关的标准、施工规范与验收规范。</w:t>
      </w:r>
    </w:p>
    <w:p w14:paraId="286E006A">
      <w:pPr>
        <w:spacing w:line="360" w:lineRule="auto"/>
        <w:ind w:firstLine="442" w:firstLineChars="200"/>
        <w:rPr>
          <w:rFonts w:asciiTheme="minorEastAsia" w:hAnsiTheme="minorEastAsia"/>
          <w:b/>
          <w:sz w:val="22"/>
        </w:rPr>
      </w:pPr>
      <w:r>
        <w:rPr>
          <w:rFonts w:hint="eastAsia" w:asciiTheme="minorEastAsia" w:hAnsiTheme="minorEastAsia"/>
          <w:b/>
          <w:sz w:val="22"/>
        </w:rPr>
        <w:t>四、取费标准</w:t>
      </w:r>
    </w:p>
    <w:p w14:paraId="6390F7B2">
      <w:pPr>
        <w:spacing w:line="360" w:lineRule="auto"/>
        <w:ind w:firstLine="440" w:firstLineChars="200"/>
        <w:rPr>
          <w:sz w:val="22"/>
        </w:rPr>
      </w:pPr>
      <w:r>
        <w:rPr>
          <w:rFonts w:hint="eastAsia"/>
          <w:sz w:val="22"/>
        </w:rPr>
        <w:t>1、《省住房城乡建设厅关于建筑业实施营改增后江苏省建设工程计价依据调整的通知》 苏建价（2016）154号文及相关附件。</w:t>
      </w:r>
    </w:p>
    <w:p w14:paraId="0FA6D2EF">
      <w:pPr>
        <w:spacing w:line="360" w:lineRule="auto"/>
        <w:ind w:firstLine="440" w:firstLineChars="200"/>
        <w:rPr>
          <w:sz w:val="22"/>
        </w:rPr>
      </w:pPr>
      <w:r>
        <w:rPr>
          <w:rFonts w:hint="eastAsia"/>
          <w:sz w:val="22"/>
        </w:rPr>
        <w:t>2、《省住房城乡建设厅关于建筑业增值税计价政策调整的通知》苏建函价（2019）178号文。</w:t>
      </w:r>
    </w:p>
    <w:p w14:paraId="5DF924F9">
      <w:pPr>
        <w:spacing w:line="360" w:lineRule="auto"/>
        <w:ind w:firstLine="440" w:firstLineChars="200"/>
        <w:rPr>
          <w:rFonts w:asciiTheme="minorEastAsia" w:hAnsiTheme="minorEastAsia"/>
          <w:sz w:val="22"/>
        </w:rPr>
      </w:pPr>
      <w:r>
        <w:rPr>
          <w:rFonts w:hint="eastAsia" w:asciiTheme="minorEastAsia" w:hAnsiTheme="minorEastAsia"/>
          <w:sz w:val="22"/>
        </w:rPr>
        <w:t>3、安全文明施工措施费计取基本费和扬尘污染防治增加费。</w:t>
      </w:r>
    </w:p>
    <w:p w14:paraId="0CAE4B66">
      <w:pPr>
        <w:spacing w:line="360" w:lineRule="auto"/>
        <w:ind w:firstLine="440" w:firstLineChars="200"/>
        <w:rPr>
          <w:rFonts w:asciiTheme="minorEastAsia" w:hAnsiTheme="minorEastAsia"/>
          <w:sz w:val="22"/>
        </w:rPr>
      </w:pPr>
      <w:r>
        <w:rPr>
          <w:rFonts w:hint="eastAsia" w:asciiTheme="minorEastAsia" w:hAnsiTheme="minorEastAsia"/>
          <w:sz w:val="22"/>
        </w:rPr>
        <w:t>4、《省住房城乡建设厅关于建筑工人实名制费用计取方法的公告》〔2019〕第19号</w:t>
      </w:r>
    </w:p>
    <w:p w14:paraId="5E5DFEE5">
      <w:pPr>
        <w:spacing w:line="360" w:lineRule="auto"/>
        <w:ind w:firstLine="440" w:firstLineChars="200"/>
        <w:rPr>
          <w:rFonts w:asciiTheme="minorEastAsia" w:hAnsiTheme="minorEastAsia"/>
          <w:sz w:val="22"/>
        </w:rPr>
      </w:pPr>
      <w:r>
        <w:rPr>
          <w:rFonts w:hint="eastAsia" w:asciiTheme="minorEastAsia" w:hAnsiTheme="minorEastAsia"/>
          <w:sz w:val="22"/>
        </w:rPr>
        <w:t>5、政策性文件及报价参考执行投标截止日前省市建委造价有关文件，投标截止日后的省市建委造价文件不予执行。</w:t>
      </w:r>
    </w:p>
    <w:p w14:paraId="734A240F">
      <w:pPr>
        <w:spacing w:line="360" w:lineRule="auto"/>
        <w:ind w:firstLine="440" w:firstLineChars="200"/>
        <w:rPr>
          <w:rFonts w:asciiTheme="minorEastAsia" w:hAnsiTheme="minorEastAsia"/>
          <w:sz w:val="22"/>
        </w:rPr>
      </w:pPr>
      <w:r>
        <w:rPr>
          <w:rFonts w:hint="eastAsia" w:asciiTheme="minorEastAsia" w:hAnsiTheme="minorEastAsia"/>
          <w:sz w:val="22"/>
        </w:rPr>
        <w:t>6、人工工资参考江苏省建设工程人工工资指导价自主报价，其它费用按照省市建委发布的有关文件及政策规定等执行，报价参考执行投标截止日前省建设厅、市建委造价有关文件。</w:t>
      </w:r>
    </w:p>
    <w:p w14:paraId="587D3769">
      <w:pPr>
        <w:spacing w:line="360" w:lineRule="auto"/>
        <w:ind w:firstLine="440" w:firstLineChars="200"/>
        <w:rPr>
          <w:sz w:val="22"/>
        </w:rPr>
      </w:pPr>
      <w:r>
        <w:rPr>
          <w:rFonts w:hint="eastAsia" w:asciiTheme="minorEastAsia" w:hAnsiTheme="minorEastAsia"/>
          <w:sz w:val="22"/>
        </w:rPr>
        <w:t>7</w:t>
      </w:r>
      <w:r>
        <w:rPr>
          <w:rFonts w:hint="eastAsia"/>
          <w:sz w:val="22"/>
        </w:rPr>
        <w:t>、暂列金额及暂估价：</w:t>
      </w:r>
    </w:p>
    <w:p w14:paraId="06EA402D">
      <w:pPr>
        <w:spacing w:line="360" w:lineRule="auto"/>
        <w:ind w:firstLine="440" w:firstLineChars="200"/>
        <w:rPr>
          <w:sz w:val="22"/>
        </w:rPr>
      </w:pPr>
      <w:r>
        <w:rPr>
          <w:rFonts w:hint="eastAsia"/>
          <w:sz w:val="22"/>
        </w:rPr>
        <w:t>（1）暂列金额：</w:t>
      </w:r>
      <w:r>
        <w:rPr>
          <w:rFonts w:hint="eastAsia" w:asciiTheme="minorEastAsia" w:hAnsiTheme="minorEastAsia"/>
          <w:sz w:val="22"/>
          <w:lang w:val="en-US" w:eastAsia="zh-CN"/>
        </w:rPr>
        <w:t>5749.57</w:t>
      </w:r>
      <w:r>
        <w:rPr>
          <w:rFonts w:hint="eastAsia" w:asciiTheme="minorEastAsia" w:hAnsiTheme="minorEastAsia"/>
          <w:sz w:val="22"/>
        </w:rPr>
        <w:t>元</w:t>
      </w:r>
      <w:r>
        <w:rPr>
          <w:rFonts w:hint="eastAsia"/>
          <w:sz w:val="22"/>
        </w:rPr>
        <w:t>。</w:t>
      </w:r>
      <w:bookmarkStart w:id="0" w:name="_GoBack"/>
      <w:bookmarkEnd w:id="0"/>
    </w:p>
    <w:p w14:paraId="7A85E8D1">
      <w:pPr>
        <w:spacing w:line="360" w:lineRule="auto"/>
        <w:ind w:firstLine="440" w:firstLineChars="200"/>
        <w:rPr>
          <w:sz w:val="22"/>
        </w:rPr>
      </w:pPr>
      <w:r>
        <w:rPr>
          <w:rFonts w:hint="eastAsia"/>
          <w:sz w:val="22"/>
        </w:rPr>
        <w:t>（2）暂估价：无。</w:t>
      </w:r>
    </w:p>
    <w:p w14:paraId="519D8EAD">
      <w:pPr>
        <w:spacing w:line="360" w:lineRule="auto"/>
        <w:ind w:firstLine="442" w:firstLineChars="200"/>
        <w:rPr>
          <w:rFonts w:asciiTheme="minorEastAsia" w:hAnsiTheme="minorEastAsia"/>
          <w:b/>
          <w:sz w:val="22"/>
        </w:rPr>
      </w:pPr>
      <w:r>
        <w:rPr>
          <w:rFonts w:hint="eastAsia" w:asciiTheme="minorEastAsia" w:hAnsiTheme="minorEastAsia"/>
          <w:b/>
          <w:sz w:val="22"/>
        </w:rPr>
        <w:t>五、图纸及工程量计算中的相关说明</w:t>
      </w:r>
    </w:p>
    <w:p w14:paraId="65DFDF44">
      <w:pPr>
        <w:spacing w:line="360" w:lineRule="auto"/>
        <w:ind w:firstLine="440" w:firstLineChars="200"/>
        <w:rPr>
          <w:rFonts w:ascii="宋体" w:hAnsi="宋体" w:eastAsia="宋体" w:cs="宋体"/>
          <w:sz w:val="22"/>
        </w:rPr>
      </w:pPr>
      <w:r>
        <w:rPr>
          <w:rFonts w:hint="eastAsia" w:ascii="宋体" w:hAnsi="宋体" w:eastAsia="宋体" w:cs="宋体"/>
          <w:sz w:val="22"/>
        </w:rPr>
        <w:t>1、通用部分</w:t>
      </w:r>
    </w:p>
    <w:p w14:paraId="341929A4">
      <w:pPr>
        <w:spacing w:line="360" w:lineRule="auto"/>
        <w:ind w:firstLine="440" w:firstLineChars="200"/>
        <w:rPr>
          <w:rFonts w:ascii="宋体" w:hAnsi="宋体" w:eastAsia="宋体" w:cs="宋体"/>
          <w:sz w:val="22"/>
        </w:rPr>
      </w:pPr>
      <w:r>
        <w:rPr>
          <w:rFonts w:hint="eastAsia" w:asciiTheme="minorEastAsia" w:hAnsiTheme="minor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0D4ADB44">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（2）投标人在投标报价时结合现场实际情况考虑在办公区域施工等因素，须做好封闭及安全防护，结算时不再调整。</w:t>
      </w:r>
    </w:p>
    <w:p w14:paraId="04A26EDA">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（3）本工程所需报验、报检费用由投标人自行考虑计入到投标报价中。</w:t>
      </w:r>
    </w:p>
    <w:p w14:paraId="2B9672F6">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rPr>
        <w:t>（4）</w:t>
      </w:r>
      <w:r>
        <w:rPr>
          <w:rFonts w:hint="eastAsia" w:ascii="宋体" w:hAnsi="宋体" w:eastAsia="宋体" w:cs="宋体"/>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sz w:val="22"/>
        </w:rPr>
        <w:t>不可竞争费按规定报价。</w:t>
      </w:r>
    </w:p>
    <w:p w14:paraId="0A03BF8C">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5</w:t>
      </w:r>
      <w:r>
        <w:rPr>
          <w:rFonts w:hint="eastAsia" w:ascii="宋体" w:hAnsi="宋体" w:eastAsia="宋体" w:cs="宋体"/>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06DD2293">
      <w:pPr>
        <w:tabs>
          <w:tab w:val="left" w:pos="284"/>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6</w:t>
      </w:r>
      <w:r>
        <w:rPr>
          <w:rFonts w:hint="eastAsia" w:ascii="宋体" w:hAnsi="宋体" w:eastAsia="宋体" w:cs="宋体"/>
          <w:kern w:val="0"/>
          <w:sz w:val="22"/>
          <w:lang w:val="zh-CN"/>
        </w:rPr>
        <w:t>）清单中项目特征描述不详处，以图纸为准，投标报价时应考虑图纸所示施工要求等一切费用。</w:t>
      </w:r>
    </w:p>
    <w:p w14:paraId="01E68427">
      <w:pPr>
        <w:tabs>
          <w:tab w:val="left" w:pos="1067"/>
        </w:tabs>
        <w:spacing w:line="360" w:lineRule="auto"/>
        <w:ind w:firstLine="440" w:firstLineChars="200"/>
        <w:rPr>
          <w:rFonts w:ascii="宋体" w:hAnsi="宋体" w:eastAsia="宋体" w:cs="宋体"/>
          <w:sz w:val="22"/>
        </w:rPr>
      </w:pPr>
      <w:r>
        <w:rPr>
          <w:rFonts w:hint="eastAsia" w:ascii="宋体" w:hAnsi="宋体" w:eastAsia="宋体" w:cs="宋体"/>
          <w:kern w:val="0"/>
          <w:sz w:val="22"/>
          <w:lang w:val="zh-CN"/>
        </w:rPr>
        <w:t>（</w:t>
      </w:r>
      <w:r>
        <w:rPr>
          <w:rFonts w:hint="eastAsia" w:ascii="宋体" w:hAnsi="宋体" w:eastAsia="宋体" w:cs="宋体"/>
          <w:kern w:val="0"/>
          <w:sz w:val="22"/>
        </w:rPr>
        <w:t>7</w:t>
      </w:r>
      <w:r>
        <w:rPr>
          <w:rFonts w:hint="eastAsia" w:ascii="宋体" w:hAnsi="宋体" w:eastAsia="宋体" w:cs="宋体"/>
          <w:kern w:val="0"/>
          <w:sz w:val="22"/>
          <w:lang w:val="zh-CN"/>
        </w:rPr>
        <w:t>）本次招标要求投标人在投标时根据招标人提供的主要材料推荐品牌和产品系列，明确投标所选的厂家品牌产品（主要材料品牌和产品系列推荐表附后）。</w:t>
      </w:r>
    </w:p>
    <w:p w14:paraId="1323EA30">
      <w:pPr>
        <w:spacing w:line="360" w:lineRule="auto"/>
        <w:ind w:firstLine="440" w:firstLineChars="200"/>
        <w:rPr>
          <w:rFonts w:ascii="宋体" w:hAnsi="宋体" w:eastAsia="宋体" w:cs="宋体"/>
          <w:sz w:val="22"/>
        </w:rPr>
      </w:pPr>
      <w:r>
        <w:rPr>
          <w:rFonts w:hint="eastAsia" w:ascii="宋体" w:hAnsi="宋体" w:eastAsia="宋体" w:cs="宋体"/>
          <w:sz w:val="22"/>
        </w:rPr>
        <w:t>（8）土壤类别结合现场综合考虑；建筑垃圾、余方、清表土（腐殖土）等施工弃土及时清运，弃土场及运距由投标人现场考察后自行考虑报价；回填土及部分种植土等运费及上下车费及取土环保措施费施工单位自行考虑。</w:t>
      </w:r>
    </w:p>
    <w:p w14:paraId="2E549550">
      <w:pPr>
        <w:spacing w:line="360" w:lineRule="auto"/>
        <w:ind w:firstLine="440" w:firstLineChars="200"/>
        <w:rPr>
          <w:rFonts w:ascii="宋体" w:hAnsi="宋体" w:eastAsia="宋体" w:cs="宋体"/>
          <w:sz w:val="22"/>
        </w:rPr>
      </w:pPr>
      <w:r>
        <w:rPr>
          <w:rFonts w:hint="eastAsia" w:ascii="宋体" w:hAnsi="宋体" w:eastAsia="宋体" w:cs="宋体"/>
          <w:sz w:val="22"/>
        </w:rPr>
        <w:t>（9）工地现场应严格执行《南京市扬尘污染防治管理办法》的相关法律、法规，费用由投标人报价时自行考虑。</w:t>
      </w:r>
    </w:p>
    <w:p w14:paraId="3E508DE3">
      <w:pPr>
        <w:spacing w:line="360" w:lineRule="auto"/>
        <w:ind w:firstLine="440" w:firstLineChars="200"/>
        <w:rPr>
          <w:rFonts w:ascii="宋体" w:hAnsi="宋体" w:eastAsia="宋体" w:cs="宋体"/>
          <w:sz w:val="22"/>
        </w:rPr>
      </w:pPr>
      <w:r>
        <w:rPr>
          <w:rFonts w:hint="eastAsia" w:ascii="宋体" w:hAnsi="宋体" w:eastAsia="宋体" w:cs="宋体"/>
          <w:sz w:val="22"/>
        </w:rPr>
        <w:t>（10）施工机械进退场及进退场所必须的临时道路费、特殊条件施工增加费、材料运输及堆放等应由投标人充分勘查现场，清单中未列的施工机械进退场费投标人自行综合考虑，费用含在投标报价中，结算是不作调整。</w:t>
      </w:r>
    </w:p>
    <w:p w14:paraId="2600E355">
      <w:pPr>
        <w:spacing w:line="360" w:lineRule="auto"/>
        <w:ind w:firstLine="440" w:firstLineChars="200"/>
        <w:rPr>
          <w:rFonts w:hint="eastAsia" w:ascii="宋体" w:hAnsi="宋体" w:eastAsia="宋体" w:cs="宋体"/>
          <w:sz w:val="22"/>
        </w:rPr>
      </w:pPr>
      <w:r>
        <w:rPr>
          <w:rFonts w:hint="eastAsia" w:ascii="宋体" w:hAnsi="宋体" w:eastAsia="宋体" w:cs="宋体"/>
          <w:sz w:val="22"/>
        </w:rPr>
        <w:t>（11）本工程施工外部协调工作由投标人负责，投标人应充分考虑周边地域情况，并将此费用考虑在投标报价中，结算时发包人不再为此增加费用。</w:t>
      </w:r>
    </w:p>
    <w:p w14:paraId="3A66B36E">
      <w:pPr>
        <w:spacing w:line="360" w:lineRule="auto"/>
        <w:ind w:firstLine="440" w:firstLineChars="200"/>
        <w:rPr>
          <w:rFonts w:ascii="宋体" w:hAnsi="宋体" w:eastAsia="宋体" w:cs="宋体"/>
          <w:sz w:val="22"/>
        </w:rPr>
      </w:pPr>
      <w:r>
        <w:rPr>
          <w:rFonts w:hint="eastAsia" w:ascii="宋体" w:hAnsi="宋体" w:eastAsia="宋体" w:cs="宋体"/>
          <w:sz w:val="22"/>
          <w:lang w:val="en-US" w:eastAsia="zh-CN"/>
        </w:rPr>
        <w:t>2</w:t>
      </w:r>
      <w:r>
        <w:rPr>
          <w:rFonts w:hint="eastAsia" w:ascii="宋体" w:hAnsi="宋体" w:eastAsia="宋体" w:cs="宋体"/>
          <w:sz w:val="22"/>
        </w:rPr>
        <w:t>、</w:t>
      </w:r>
      <w:r>
        <w:rPr>
          <w:rFonts w:hint="eastAsia" w:ascii="宋体" w:hAnsi="宋体" w:eastAsia="宋体" w:cs="宋体"/>
          <w:sz w:val="22"/>
          <w:lang w:val="en-US" w:eastAsia="zh-CN"/>
        </w:rPr>
        <w:t>装饰</w:t>
      </w:r>
      <w:r>
        <w:rPr>
          <w:rFonts w:hint="eastAsia" w:ascii="宋体" w:hAnsi="宋体" w:eastAsia="宋体" w:cs="宋体"/>
          <w:sz w:val="22"/>
        </w:rPr>
        <w:t>工程</w:t>
      </w:r>
    </w:p>
    <w:p w14:paraId="6DB8148E">
      <w:pPr>
        <w:spacing w:line="360" w:lineRule="auto"/>
        <w:ind w:firstLine="440" w:firstLineChars="200"/>
        <w:rPr>
          <w:rFonts w:hint="eastAsia" w:ascii="宋体" w:hAnsi="宋体" w:eastAsia="宋体" w:cs="宋体"/>
          <w:sz w:val="22"/>
        </w:rPr>
      </w:pPr>
      <w:r>
        <w:rPr>
          <w:rFonts w:hint="eastAsia" w:ascii="宋体" w:hAnsi="宋体" w:eastAsia="宋体" w:cs="宋体"/>
          <w:sz w:val="22"/>
        </w:rPr>
        <w:t>（1）</w:t>
      </w:r>
      <w:r>
        <w:rPr>
          <w:rFonts w:hint="eastAsia"/>
          <w:sz w:val="22"/>
        </w:rPr>
        <w:t>生科院通风柜风管连接改造</w:t>
      </w:r>
      <w:r>
        <w:rPr>
          <w:rFonts w:hint="eastAsia" w:ascii="宋体" w:hAnsi="宋体" w:eastAsia="宋体" w:cs="宋体"/>
          <w:sz w:val="22"/>
          <w:lang w:eastAsia="zh-CN"/>
        </w:rPr>
        <w:t>：</w:t>
      </w:r>
      <w:r>
        <w:rPr>
          <w:rFonts w:hint="eastAsia" w:ascii="宋体" w:hAnsi="宋体" w:eastAsia="宋体" w:cs="宋体"/>
          <w:sz w:val="22"/>
          <w:lang w:val="en-US" w:eastAsia="zh-CN"/>
        </w:rPr>
        <w:t>拆除及恢复风管安装部位的吊顶面板、柜板，建筑垃圾清理及外运；</w:t>
      </w:r>
    </w:p>
    <w:p w14:paraId="20BDA160">
      <w:pPr>
        <w:spacing w:line="360" w:lineRule="auto"/>
        <w:ind w:firstLine="440" w:firstLineChars="200"/>
        <w:rPr>
          <w:rFonts w:ascii="宋体" w:hAnsi="宋体" w:eastAsia="宋体" w:cs="宋体"/>
          <w:sz w:val="22"/>
        </w:rPr>
      </w:pPr>
      <w:r>
        <w:rPr>
          <w:rFonts w:hint="eastAsia" w:ascii="宋体" w:hAnsi="宋体" w:eastAsia="宋体" w:cs="宋体"/>
          <w:sz w:val="22"/>
          <w:lang w:val="en-US" w:eastAsia="zh-CN"/>
        </w:rPr>
        <w:t>3</w:t>
      </w:r>
      <w:r>
        <w:rPr>
          <w:rFonts w:hint="eastAsia" w:ascii="宋体" w:hAnsi="宋体" w:eastAsia="宋体" w:cs="宋体"/>
          <w:sz w:val="22"/>
        </w:rPr>
        <w:t>、安装工程</w:t>
      </w:r>
    </w:p>
    <w:p w14:paraId="7FC41FF5">
      <w:pPr>
        <w:spacing w:line="360" w:lineRule="auto"/>
        <w:ind w:firstLine="440" w:firstLineChars="200"/>
        <w:rPr>
          <w:rFonts w:hint="eastAsia" w:ascii="宋体" w:hAnsi="宋体" w:eastAsia="宋体" w:cs="宋体"/>
          <w:sz w:val="22"/>
        </w:rPr>
      </w:pPr>
      <w:r>
        <w:rPr>
          <w:rFonts w:hint="eastAsia" w:ascii="宋体" w:hAnsi="宋体" w:eastAsia="宋体" w:cs="宋体"/>
          <w:sz w:val="22"/>
        </w:rPr>
        <w:t>（1）</w:t>
      </w:r>
      <w:r>
        <w:rPr>
          <w:rFonts w:hint="eastAsia"/>
          <w:sz w:val="22"/>
        </w:rPr>
        <w:t>生科院通风柜风管连接改造</w:t>
      </w:r>
      <w:r>
        <w:rPr>
          <w:rFonts w:hint="eastAsia" w:ascii="宋体" w:hAnsi="宋体" w:eastAsia="宋体" w:cs="宋体"/>
          <w:sz w:val="22"/>
          <w:lang w:eastAsia="zh-CN"/>
        </w:rPr>
        <w:t>：</w:t>
      </w:r>
      <w:r>
        <w:rPr>
          <w:rFonts w:hint="eastAsia" w:ascii="宋体" w:hAnsi="宋体" w:eastAsia="宋体" w:cs="宋体"/>
          <w:sz w:val="22"/>
          <w:lang w:val="en-US" w:eastAsia="zh-CN"/>
        </w:rPr>
        <w:t>拆除原软接风管Φ250mm；新增直接风管Φ250mm；新增软接风管Φ250mm；更换电动风阀Φ250mm；通风工程检测、调试等；</w:t>
      </w:r>
    </w:p>
    <w:p w14:paraId="7FB68DD9">
      <w:pPr>
        <w:spacing w:line="360" w:lineRule="auto"/>
        <w:ind w:firstLine="440" w:firstLineChars="200"/>
        <w:rPr>
          <w:rFonts w:hint="eastAsia"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2</w:t>
      </w:r>
      <w:r>
        <w:rPr>
          <w:rFonts w:hint="eastAsia" w:ascii="宋体" w:hAnsi="宋体" w:eastAsia="宋体" w:cs="宋体"/>
          <w:sz w:val="22"/>
        </w:rPr>
        <w:t>）</w:t>
      </w:r>
      <w:r>
        <w:rPr>
          <w:rFonts w:hint="eastAsia" w:asciiTheme="minorEastAsia" w:hAnsiTheme="minorEastAsia"/>
          <w:sz w:val="22"/>
        </w:rPr>
        <w:t>投标人需考察项目现场，清单未列项目自行考虑，含在投标报价总价中，结算时不再新列清单子目。</w:t>
      </w:r>
    </w:p>
    <w:p w14:paraId="2E7DC536">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14:paraId="5D875645">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14:paraId="5CFC3F36">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7F9DE5E3">
      <w:pPr>
        <w:numPr>
          <w:ilvl w:val="0"/>
          <w:numId w:val="1"/>
        </w:numPr>
        <w:spacing w:line="360" w:lineRule="auto"/>
        <w:ind w:firstLine="440" w:firstLineChars="200"/>
        <w:rPr>
          <w:rFonts w:asciiTheme="minorEastAsia" w:hAnsiTheme="minorEastAsia"/>
          <w:sz w:val="22"/>
        </w:rPr>
      </w:pPr>
      <w:r>
        <w:rPr>
          <w:rFonts w:hint="eastAsia" w:asciiTheme="minorEastAsia" w:hAnsiTheme="minorEastAsia"/>
          <w:sz w:val="22"/>
        </w:rPr>
        <w:t>本项目主要材料品牌推荐表如下：</w:t>
      </w:r>
    </w:p>
    <w:tbl>
      <w:tblPr>
        <w:tblStyle w:val="6"/>
        <w:tblW w:w="9025" w:type="dxa"/>
        <w:tblInd w:w="0" w:type="dxa"/>
        <w:tblLayout w:type="autofit"/>
        <w:tblCellMar>
          <w:top w:w="0" w:type="dxa"/>
          <w:left w:w="0" w:type="dxa"/>
          <w:bottom w:w="0" w:type="dxa"/>
          <w:right w:w="0" w:type="dxa"/>
        </w:tblCellMar>
      </w:tblPr>
      <w:tblGrid>
        <w:gridCol w:w="517"/>
        <w:gridCol w:w="1622"/>
        <w:gridCol w:w="2126"/>
        <w:gridCol w:w="2576"/>
        <w:gridCol w:w="2184"/>
      </w:tblGrid>
      <w:tr w14:paraId="5395A53D">
        <w:tblPrEx>
          <w:tblCellMar>
            <w:top w:w="0" w:type="dxa"/>
            <w:left w:w="0" w:type="dxa"/>
            <w:bottom w:w="0" w:type="dxa"/>
            <w:right w:w="0" w:type="dxa"/>
          </w:tblCellMar>
        </w:tblPrEx>
        <w:trPr>
          <w:trHeight w:val="499" w:hRule="atLeast"/>
        </w:trPr>
        <w:tc>
          <w:tcPr>
            <w:tcW w:w="5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3D82D3">
            <w:pPr>
              <w:widowControl/>
              <w:jc w:val="center"/>
              <w:textAlignment w:val="center"/>
              <w:rPr>
                <w:rFonts w:ascii="宋体" w:hAnsi="宋体" w:cs="宋体"/>
                <w:b/>
                <w:sz w:val="20"/>
                <w:szCs w:val="20"/>
              </w:rPr>
            </w:pPr>
            <w:r>
              <w:rPr>
                <w:rFonts w:hint="eastAsia" w:ascii="宋体" w:hAnsi="宋体" w:cs="宋体"/>
                <w:b/>
                <w:kern w:val="0"/>
                <w:sz w:val="20"/>
                <w:szCs w:val="20"/>
              </w:rPr>
              <w:t>序号</w:t>
            </w:r>
          </w:p>
        </w:tc>
        <w:tc>
          <w:tcPr>
            <w:tcW w:w="16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8CC98D1">
            <w:pPr>
              <w:widowControl/>
              <w:jc w:val="center"/>
              <w:textAlignment w:val="center"/>
              <w:rPr>
                <w:rFonts w:ascii="宋体" w:hAnsi="宋体" w:cs="宋体"/>
                <w:b/>
                <w:sz w:val="20"/>
                <w:szCs w:val="20"/>
              </w:rPr>
            </w:pPr>
            <w:r>
              <w:rPr>
                <w:rFonts w:hint="eastAsia" w:ascii="宋体" w:hAnsi="宋体" w:cs="宋体"/>
                <w:b/>
                <w:kern w:val="0"/>
                <w:sz w:val="20"/>
                <w:szCs w:val="20"/>
              </w:rPr>
              <w:t>材料设备名称</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A8D98B">
            <w:pPr>
              <w:widowControl/>
              <w:jc w:val="center"/>
              <w:textAlignment w:val="center"/>
              <w:rPr>
                <w:rFonts w:ascii="宋体" w:hAnsi="宋体" w:cs="宋体"/>
                <w:b/>
                <w:sz w:val="20"/>
                <w:szCs w:val="20"/>
              </w:rPr>
            </w:pPr>
            <w:r>
              <w:rPr>
                <w:rFonts w:hint="eastAsia" w:ascii="宋体" w:hAnsi="宋体" w:cs="宋体"/>
                <w:b/>
                <w:kern w:val="0"/>
                <w:sz w:val="20"/>
                <w:szCs w:val="20"/>
              </w:rPr>
              <w:t>推荐品牌、系列</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0C3290">
            <w:pPr>
              <w:widowControl/>
              <w:jc w:val="center"/>
              <w:textAlignment w:val="center"/>
              <w:rPr>
                <w:rFonts w:ascii="宋体" w:hAnsi="宋体" w:cs="宋体"/>
                <w:b/>
                <w:sz w:val="20"/>
                <w:szCs w:val="20"/>
              </w:rPr>
            </w:pPr>
            <w:r>
              <w:rPr>
                <w:rFonts w:hint="eastAsia" w:ascii="宋体" w:hAnsi="宋体" w:cs="宋体"/>
                <w:b/>
                <w:kern w:val="0"/>
                <w:sz w:val="20"/>
                <w:szCs w:val="20"/>
              </w:rPr>
              <w:t>制造商或总经销商</w:t>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35C71A">
            <w:pPr>
              <w:widowControl/>
              <w:jc w:val="center"/>
              <w:textAlignment w:val="center"/>
              <w:rPr>
                <w:rFonts w:ascii="宋体" w:hAnsi="宋体" w:cs="宋体"/>
                <w:b/>
                <w:sz w:val="20"/>
                <w:szCs w:val="20"/>
              </w:rPr>
            </w:pPr>
            <w:r>
              <w:rPr>
                <w:rFonts w:hint="eastAsia" w:ascii="宋体" w:hAnsi="宋体" w:cs="宋体"/>
                <w:b/>
                <w:kern w:val="0"/>
                <w:sz w:val="20"/>
                <w:szCs w:val="20"/>
              </w:rPr>
              <w:t>备注</w:t>
            </w:r>
          </w:p>
        </w:tc>
      </w:tr>
      <w:tr w14:paraId="001E304F">
        <w:tblPrEx>
          <w:tblCellMar>
            <w:top w:w="0" w:type="dxa"/>
            <w:left w:w="0" w:type="dxa"/>
            <w:bottom w:w="0" w:type="dxa"/>
            <w:right w:w="0" w:type="dxa"/>
          </w:tblCellMar>
        </w:tblPrEx>
        <w:trPr>
          <w:trHeight w:val="499" w:hRule="atLeast"/>
        </w:trPr>
        <w:tc>
          <w:tcPr>
            <w:tcW w:w="51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CE91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62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75172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PP管、PPH管</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884E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皓辰</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FFDCD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"供应商基本信息\\江苏皓辰环保科技有限公司"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江苏皓辰环保科技有限公司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F425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3BA64CF">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7003B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EEEB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958B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绿岛</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D6C8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"供应商基本信息\\江苏省绿岛管阀件有限公司"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江苏省绿岛管阀件有限公司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7CAE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E3D6FB4">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4E1D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83455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09CB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千辰</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E37D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"供应商基本信息\\江苏千辰管阀件有限公司"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江苏千辰管阀件有限公司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3BBBC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4CB6338">
        <w:tblPrEx>
          <w:tblCellMar>
            <w:top w:w="0" w:type="dxa"/>
            <w:left w:w="0" w:type="dxa"/>
            <w:bottom w:w="0" w:type="dxa"/>
            <w:right w:w="0" w:type="dxa"/>
          </w:tblCellMar>
        </w:tblPrEx>
        <w:trPr>
          <w:trHeight w:val="499" w:hRule="atLeast"/>
        </w:trPr>
        <w:tc>
          <w:tcPr>
            <w:tcW w:w="517"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14:paraId="28DB66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62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DEB4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阀门</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34DC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埃美柯</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AE59A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"供应商基本信息\\埃美柯集团有限公司"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埃美柯集团有限公司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9046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FC3EFA7">
        <w:tblPrEx>
          <w:tblCellMar>
            <w:top w:w="0" w:type="dxa"/>
            <w:left w:w="0" w:type="dxa"/>
            <w:bottom w:w="0" w:type="dxa"/>
            <w:right w:w="0" w:type="dxa"/>
          </w:tblCellMar>
        </w:tblPrEx>
        <w:trPr>
          <w:trHeight w:val="499" w:hRule="atLeast"/>
        </w:trPr>
        <w:tc>
          <w:tcPr>
            <w:tcW w:w="517" w:type="dxa"/>
            <w:vMerge w:val="continue"/>
            <w:tcBorders>
              <w:left w:val="single" w:color="000000" w:sz="4" w:space="0"/>
              <w:right w:val="single" w:color="000000" w:sz="4" w:space="0"/>
            </w:tcBorders>
            <w:tcMar>
              <w:top w:w="12" w:type="dxa"/>
              <w:left w:w="12" w:type="dxa"/>
              <w:right w:w="12" w:type="dxa"/>
            </w:tcMar>
            <w:vAlign w:val="center"/>
          </w:tcPr>
          <w:p w14:paraId="3CE673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46C9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BD68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标一</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1D01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"供应商基本信息\\上海标一阀门有限公司"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上海标一阀门有限公司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7BAC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0CA955CB">
        <w:tblPrEx>
          <w:tblCellMar>
            <w:top w:w="0" w:type="dxa"/>
            <w:left w:w="0" w:type="dxa"/>
            <w:bottom w:w="0" w:type="dxa"/>
            <w:right w:w="0" w:type="dxa"/>
          </w:tblCellMar>
        </w:tblPrEx>
        <w:trPr>
          <w:trHeight w:val="499" w:hRule="atLeast"/>
        </w:trPr>
        <w:tc>
          <w:tcPr>
            <w:tcW w:w="517" w:type="dxa"/>
            <w:vMerge w:val="continue"/>
            <w:tcBorders>
              <w:left w:val="single" w:color="000000" w:sz="4" w:space="0"/>
              <w:right w:val="single" w:color="000000" w:sz="4" w:space="0"/>
            </w:tcBorders>
            <w:tcMar>
              <w:top w:w="12" w:type="dxa"/>
              <w:left w:w="12" w:type="dxa"/>
              <w:right w:w="12" w:type="dxa"/>
            </w:tcMar>
            <w:vAlign w:val="center"/>
          </w:tcPr>
          <w:p w14:paraId="6D352F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5F5A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1695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沪工</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963A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"供应商基本信息\\上海沪工阀门厂(集团)有限公司"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上海沪工阀门厂(集团)有限公司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7B22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D50AA76">
        <w:tblPrEx>
          <w:tblCellMar>
            <w:top w:w="0" w:type="dxa"/>
            <w:left w:w="0" w:type="dxa"/>
            <w:bottom w:w="0" w:type="dxa"/>
            <w:right w:w="0" w:type="dxa"/>
          </w:tblCellMar>
        </w:tblPrEx>
        <w:trPr>
          <w:trHeight w:val="499" w:hRule="atLeast"/>
        </w:trPr>
        <w:tc>
          <w:tcPr>
            <w:tcW w:w="517"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14:paraId="29CAE2C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6201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74306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良工</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FE5A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"供应商基本信息\\上海沪工阀门厂(集团)有限公司"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上海良工阀门厂有限公司</w:t>
            </w:r>
            <w:r>
              <w:rPr>
                <w:rFonts w:hint="eastAsia" w:ascii="宋体" w:hAnsi="宋体" w:eastAsia="宋体" w:cs="宋体"/>
                <w:i w:val="0"/>
                <w:iCs w:val="0"/>
                <w:color w:val="000000"/>
                <w:kern w:val="0"/>
                <w:sz w:val="20"/>
                <w:szCs w:val="20"/>
                <w:u w:val="none"/>
                <w:lang w:val="en-US" w:eastAsia="zh-CN" w:bidi="ar"/>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50D1A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bl>
    <w:p w14:paraId="0C72100B"/>
    <w:p w14:paraId="230A11D9">
      <w:pPr>
        <w:spacing w:line="360" w:lineRule="auto"/>
        <w:ind w:firstLine="440" w:firstLineChars="200"/>
        <w:rPr>
          <w:rFonts w:asciiTheme="minorEastAsia" w:hAnsiTheme="minorEastAsia"/>
          <w:sz w:val="22"/>
        </w:rPr>
      </w:pPr>
      <w:r>
        <w:rPr>
          <w:rFonts w:hint="eastAsia" w:asciiTheme="minorEastAsia" w:hAnsiTheme="minorEastAsia"/>
          <w:sz w:val="22"/>
        </w:rPr>
        <w:t>3、主要材料技术标准和质量要求如下：</w:t>
      </w:r>
    </w:p>
    <w:p w14:paraId="33A99178">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4C1B34B2">
      <w:pPr>
        <w:widowControl/>
        <w:shd w:val="clear" w:color="auto" w:fill="FFFFFF"/>
        <w:spacing w:line="360" w:lineRule="auto"/>
        <w:ind w:firstLine="422" w:firstLineChars="200"/>
        <w:jc w:val="left"/>
        <w:rPr>
          <w:rFonts w:ascii="宋体" w:hAnsi="宋体" w:cs="宋体"/>
          <w:b/>
          <w:kern w:val="0"/>
          <w:szCs w:val="21"/>
        </w:rPr>
      </w:pPr>
      <w:r>
        <w:rPr>
          <w:rFonts w:hint="eastAsia" w:ascii="宋体" w:hAnsi="宋体" w:cs="宋体"/>
          <w:b/>
          <w:kern w:val="0"/>
          <w:szCs w:val="21"/>
        </w:rPr>
        <w:t>4、本工程所有由投标单位自行采购的材料设备的质保期不得低于工程质量保修期（自工程竣工验收合格之日起2年），部分材料设备质保期要求高于质量保修期且投标人响应的，须提供相应承诺书。</w:t>
      </w:r>
    </w:p>
    <w:p w14:paraId="483A6DBE">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14:paraId="7D75452E">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03642638">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7D7920D4">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3FC47D16">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7B158D31">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76B3D74A">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6783DAA5">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0C4FB025">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0E9252D3">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202B0857">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788A2294">
      <w:pPr>
        <w:spacing w:line="360" w:lineRule="auto"/>
        <w:ind w:firstLine="440" w:firstLineChars="200"/>
        <w:rPr>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7C46"/>
    <w:multiLevelType w:val="singleLevel"/>
    <w:tmpl w:val="D6B47C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BlMzZiODEwYzVhYjcxNTYwYzJiMzY4ZDM4ZjRhYWMifQ=="/>
  </w:docVars>
  <w:rsids>
    <w:rsidRoot w:val="007216EE"/>
    <w:rsid w:val="00043BF7"/>
    <w:rsid w:val="00055A03"/>
    <w:rsid w:val="000918CE"/>
    <w:rsid w:val="000B4442"/>
    <w:rsid w:val="000E4EFC"/>
    <w:rsid w:val="000F0F71"/>
    <w:rsid w:val="000F6781"/>
    <w:rsid w:val="00110532"/>
    <w:rsid w:val="00111755"/>
    <w:rsid w:val="0018274C"/>
    <w:rsid w:val="00182CF0"/>
    <w:rsid w:val="001918E0"/>
    <w:rsid w:val="001A1B2F"/>
    <w:rsid w:val="001E05DA"/>
    <w:rsid w:val="001E4483"/>
    <w:rsid w:val="002227D3"/>
    <w:rsid w:val="002365A9"/>
    <w:rsid w:val="00261507"/>
    <w:rsid w:val="002C7843"/>
    <w:rsid w:val="002F4B81"/>
    <w:rsid w:val="0035412E"/>
    <w:rsid w:val="00365827"/>
    <w:rsid w:val="00394EF6"/>
    <w:rsid w:val="003B5E79"/>
    <w:rsid w:val="003E07BA"/>
    <w:rsid w:val="003E6A22"/>
    <w:rsid w:val="00403F89"/>
    <w:rsid w:val="00410A2B"/>
    <w:rsid w:val="004237B9"/>
    <w:rsid w:val="00480D2C"/>
    <w:rsid w:val="004D0895"/>
    <w:rsid w:val="005136AA"/>
    <w:rsid w:val="0052678C"/>
    <w:rsid w:val="00531B35"/>
    <w:rsid w:val="00591850"/>
    <w:rsid w:val="005A65A1"/>
    <w:rsid w:val="005C1C94"/>
    <w:rsid w:val="005D1E3B"/>
    <w:rsid w:val="006076DB"/>
    <w:rsid w:val="00640023"/>
    <w:rsid w:val="006C1D24"/>
    <w:rsid w:val="007216EE"/>
    <w:rsid w:val="007E10E0"/>
    <w:rsid w:val="00847CE5"/>
    <w:rsid w:val="00864452"/>
    <w:rsid w:val="00876B6F"/>
    <w:rsid w:val="008E148A"/>
    <w:rsid w:val="00917415"/>
    <w:rsid w:val="00934BB6"/>
    <w:rsid w:val="00955791"/>
    <w:rsid w:val="00965503"/>
    <w:rsid w:val="00991360"/>
    <w:rsid w:val="009E6462"/>
    <w:rsid w:val="00AA43BF"/>
    <w:rsid w:val="00AA5070"/>
    <w:rsid w:val="00AC5CB5"/>
    <w:rsid w:val="00AD1268"/>
    <w:rsid w:val="00AE6169"/>
    <w:rsid w:val="00AF3547"/>
    <w:rsid w:val="00BE494A"/>
    <w:rsid w:val="00BF0684"/>
    <w:rsid w:val="00C30855"/>
    <w:rsid w:val="00CA0BD4"/>
    <w:rsid w:val="00CC4D60"/>
    <w:rsid w:val="00D3387F"/>
    <w:rsid w:val="00D77557"/>
    <w:rsid w:val="00D92B20"/>
    <w:rsid w:val="00DA1ACD"/>
    <w:rsid w:val="00E9617C"/>
    <w:rsid w:val="00EB1028"/>
    <w:rsid w:val="00EE0655"/>
    <w:rsid w:val="00EF2517"/>
    <w:rsid w:val="00F029B1"/>
    <w:rsid w:val="00F466B8"/>
    <w:rsid w:val="00F477A8"/>
    <w:rsid w:val="00F54A72"/>
    <w:rsid w:val="00F654CE"/>
    <w:rsid w:val="00FF158D"/>
    <w:rsid w:val="02204DB8"/>
    <w:rsid w:val="024355BC"/>
    <w:rsid w:val="0297662F"/>
    <w:rsid w:val="02F64606"/>
    <w:rsid w:val="031C1FBA"/>
    <w:rsid w:val="04160610"/>
    <w:rsid w:val="065D1D6C"/>
    <w:rsid w:val="07413A95"/>
    <w:rsid w:val="086E1AA3"/>
    <w:rsid w:val="0978555B"/>
    <w:rsid w:val="09BF4F3D"/>
    <w:rsid w:val="0A122D09"/>
    <w:rsid w:val="0A3741F2"/>
    <w:rsid w:val="0C186A83"/>
    <w:rsid w:val="0C7F4BB4"/>
    <w:rsid w:val="0CF31723"/>
    <w:rsid w:val="0CFB4557"/>
    <w:rsid w:val="0D361CEC"/>
    <w:rsid w:val="0DC56367"/>
    <w:rsid w:val="0FB2215B"/>
    <w:rsid w:val="11CB154F"/>
    <w:rsid w:val="14EC4A48"/>
    <w:rsid w:val="15653BFE"/>
    <w:rsid w:val="171A6359"/>
    <w:rsid w:val="176A1821"/>
    <w:rsid w:val="185F1DCD"/>
    <w:rsid w:val="19E6719A"/>
    <w:rsid w:val="1A7510BF"/>
    <w:rsid w:val="1B952D36"/>
    <w:rsid w:val="1E110B10"/>
    <w:rsid w:val="1E23363C"/>
    <w:rsid w:val="1FBF6A26"/>
    <w:rsid w:val="21DE6FDD"/>
    <w:rsid w:val="23B71F71"/>
    <w:rsid w:val="242F6132"/>
    <w:rsid w:val="25CB4FC5"/>
    <w:rsid w:val="2724208F"/>
    <w:rsid w:val="284468C4"/>
    <w:rsid w:val="28786771"/>
    <w:rsid w:val="29E11C7D"/>
    <w:rsid w:val="29F3709C"/>
    <w:rsid w:val="2A4763EA"/>
    <w:rsid w:val="2B342280"/>
    <w:rsid w:val="2BC03148"/>
    <w:rsid w:val="2C783ECF"/>
    <w:rsid w:val="2C8B1AA4"/>
    <w:rsid w:val="2CC51C54"/>
    <w:rsid w:val="2D2B61B9"/>
    <w:rsid w:val="2E370064"/>
    <w:rsid w:val="2F8B7D26"/>
    <w:rsid w:val="2FB620CB"/>
    <w:rsid w:val="302F1E8A"/>
    <w:rsid w:val="32465562"/>
    <w:rsid w:val="32672F3B"/>
    <w:rsid w:val="33AE481D"/>
    <w:rsid w:val="348B10EC"/>
    <w:rsid w:val="35101668"/>
    <w:rsid w:val="37EF65B5"/>
    <w:rsid w:val="38CF5396"/>
    <w:rsid w:val="39217E13"/>
    <w:rsid w:val="397F6DBC"/>
    <w:rsid w:val="399D7242"/>
    <w:rsid w:val="39BF5B4E"/>
    <w:rsid w:val="3A242E1F"/>
    <w:rsid w:val="3A8D6CAA"/>
    <w:rsid w:val="3A9C2883"/>
    <w:rsid w:val="3B547DD5"/>
    <w:rsid w:val="3C166A82"/>
    <w:rsid w:val="3C49544C"/>
    <w:rsid w:val="3C8722FF"/>
    <w:rsid w:val="3D036CE4"/>
    <w:rsid w:val="3DE15F8C"/>
    <w:rsid w:val="3E0C0DE5"/>
    <w:rsid w:val="3F125229"/>
    <w:rsid w:val="40445040"/>
    <w:rsid w:val="41134D68"/>
    <w:rsid w:val="432C4D27"/>
    <w:rsid w:val="468A6765"/>
    <w:rsid w:val="470E79D1"/>
    <w:rsid w:val="4A9F72BE"/>
    <w:rsid w:val="4B0233A9"/>
    <w:rsid w:val="4B6A2B20"/>
    <w:rsid w:val="4B832328"/>
    <w:rsid w:val="4C320E80"/>
    <w:rsid w:val="4D072284"/>
    <w:rsid w:val="4DB82068"/>
    <w:rsid w:val="4F2742A4"/>
    <w:rsid w:val="512F34A5"/>
    <w:rsid w:val="54CB2C0C"/>
    <w:rsid w:val="55B1434A"/>
    <w:rsid w:val="564D7F58"/>
    <w:rsid w:val="5A1A69A6"/>
    <w:rsid w:val="5A845B89"/>
    <w:rsid w:val="5C532C27"/>
    <w:rsid w:val="5D0453E2"/>
    <w:rsid w:val="5E1A5D3B"/>
    <w:rsid w:val="5E581C4F"/>
    <w:rsid w:val="5EB36A3D"/>
    <w:rsid w:val="60D60E1F"/>
    <w:rsid w:val="639C5ABE"/>
    <w:rsid w:val="63F1318A"/>
    <w:rsid w:val="63F22221"/>
    <w:rsid w:val="64F22811"/>
    <w:rsid w:val="65C90B94"/>
    <w:rsid w:val="674557A3"/>
    <w:rsid w:val="6A52276F"/>
    <w:rsid w:val="6C522502"/>
    <w:rsid w:val="6EE23434"/>
    <w:rsid w:val="6FDD23C1"/>
    <w:rsid w:val="70425AFD"/>
    <w:rsid w:val="70B56644"/>
    <w:rsid w:val="70C11497"/>
    <w:rsid w:val="70F353BF"/>
    <w:rsid w:val="71BF7B93"/>
    <w:rsid w:val="72347190"/>
    <w:rsid w:val="72C766F8"/>
    <w:rsid w:val="73E4483D"/>
    <w:rsid w:val="759F543B"/>
    <w:rsid w:val="77684485"/>
    <w:rsid w:val="77CA50CB"/>
    <w:rsid w:val="79947395"/>
    <w:rsid w:val="7B332489"/>
    <w:rsid w:val="7B9F5FA1"/>
    <w:rsid w:val="7D4D1F73"/>
    <w:rsid w:val="7DBF4A67"/>
    <w:rsid w:val="7ED705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3"/>
    <w:autoRedefine/>
    <w:qFormat/>
    <w:uiPriority w:val="99"/>
    <w:rPr>
      <w:sz w:val="18"/>
      <w:szCs w:val="18"/>
    </w:rPr>
  </w:style>
  <w:style w:type="character" w:customStyle="1" w:styleId="11">
    <w:name w:val="页脚 Char"/>
    <w:basedOn w:val="8"/>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2953</Words>
  <Characters>3053</Characters>
  <Lines>61</Lines>
  <Paragraphs>17</Paragraphs>
  <TotalTime>0</TotalTime>
  <ScaleCrop>false</ScaleCrop>
  <LinksUpToDate>false</LinksUpToDate>
  <CharactersWithSpaces>3054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2023-09-21T09:21:00Z</dcterms:created>
  <dc:creator>lujinzhi</dc:creator>
  <cp:lastModifiedBy>漂流瓶18351002007</cp:lastModifiedBy>
  <dcterms:modified xsi:type="dcterms:W3CDTF">2025-01-02T02:45:01Z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y fmtid="{D5CDD505-2E9C-101B-9397-08002B2CF9AE}" pid="5" name="KSOTemplateDocerSaveRecord">
    <vt:lpwstr>eyJoZGlkIjoiMTlhODAwODVmZWQ1NDY1ZDFjYzU1MDkyOTUyMDhlYTMiLCJ1c2VySWQiOiIxNDIyNDc2MiJ9</vt:lpwstr>
  </property>
</Properties>
</file>