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jc w:val="center"/>
        <w:rPr>
          <w:rFonts w:ascii="仿宋" w:hAnsi="仿宋" w:eastAsia="仿宋"/>
          <w:b/>
          <w:color w:val="auto"/>
          <w:sz w:val="36"/>
          <w:szCs w:val="36"/>
        </w:rPr>
      </w:pPr>
      <w:r>
        <w:rPr>
          <w:rFonts w:hint="eastAsia" w:ascii="仿宋" w:hAnsi="仿宋" w:eastAsia="仿宋"/>
          <w:b/>
          <w:color w:val="auto"/>
          <w:sz w:val="36"/>
          <w:szCs w:val="36"/>
        </w:rPr>
        <w:t>南京大学仙林校区动物房项目低压电缆招标</w:t>
      </w:r>
    </w:p>
    <w:p>
      <w:pPr>
        <w:snapToGrid w:val="0"/>
        <w:spacing w:line="288" w:lineRule="auto"/>
        <w:jc w:val="center"/>
        <w:rPr>
          <w:rFonts w:ascii="仿宋" w:hAnsi="仿宋" w:eastAsia="仿宋"/>
          <w:b/>
          <w:color w:val="auto"/>
          <w:sz w:val="36"/>
          <w:szCs w:val="36"/>
        </w:rPr>
      </w:pPr>
      <w:r>
        <w:rPr>
          <w:rFonts w:hint="eastAsia" w:ascii="仿宋" w:hAnsi="仿宋" w:eastAsia="仿宋"/>
          <w:b/>
          <w:color w:val="auto"/>
          <w:sz w:val="36"/>
          <w:szCs w:val="36"/>
        </w:rPr>
        <w:t>采购要求</w:t>
      </w:r>
    </w:p>
    <w:p>
      <w:pPr>
        <w:pStyle w:val="2"/>
        <w:snapToGrid w:val="0"/>
        <w:spacing w:line="288" w:lineRule="auto"/>
        <w:rPr>
          <w:rFonts w:ascii="仿宋" w:hAnsi="仿宋" w:eastAsia="仿宋"/>
          <w:color w:val="auto"/>
        </w:rPr>
      </w:pPr>
    </w:p>
    <w:p>
      <w:pPr>
        <w:pStyle w:val="17"/>
        <w:numPr>
          <w:ilvl w:val="0"/>
          <w:numId w:val="2"/>
        </w:numPr>
        <w:snapToGrid w:val="0"/>
        <w:spacing w:line="288" w:lineRule="auto"/>
        <w:ind w:firstLineChars="0"/>
        <w:rPr>
          <w:rFonts w:ascii="仿宋" w:hAnsi="仿宋" w:eastAsia="仿宋"/>
          <w:b/>
          <w:color w:val="auto"/>
          <w:sz w:val="24"/>
          <w:szCs w:val="24"/>
        </w:rPr>
      </w:pPr>
      <w:r>
        <w:rPr>
          <w:rFonts w:hint="eastAsia" w:ascii="仿宋" w:hAnsi="仿宋" w:eastAsia="仿宋"/>
          <w:b/>
          <w:color w:val="auto"/>
          <w:sz w:val="24"/>
          <w:szCs w:val="24"/>
        </w:rPr>
        <w:t>本次招标采购拟实现的功能和目标</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本次采购的标的为南京大学仙林校区动物房项目配电电缆采购</w:t>
      </w:r>
    </w:p>
    <w:p>
      <w:pPr>
        <w:numPr>
          <w:ilvl w:val="0"/>
          <w:numId w:val="2"/>
        </w:numPr>
        <w:snapToGrid w:val="0"/>
        <w:spacing w:line="288" w:lineRule="auto"/>
        <w:rPr>
          <w:rFonts w:ascii="仿宋" w:hAnsi="仿宋" w:eastAsia="仿宋"/>
          <w:b/>
          <w:color w:val="auto"/>
          <w:szCs w:val="21"/>
        </w:rPr>
      </w:pPr>
      <w:r>
        <w:rPr>
          <w:rFonts w:hint="eastAsia" w:ascii="仿宋" w:hAnsi="仿宋" w:eastAsia="仿宋"/>
          <w:b/>
          <w:color w:val="auto"/>
          <w:szCs w:val="21"/>
        </w:rPr>
        <w:t>产品清单</w:t>
      </w:r>
    </w:p>
    <w:tbl>
      <w:tblPr>
        <w:tblStyle w:val="13"/>
        <w:tblW w:w="9781" w:type="dxa"/>
        <w:jc w:val="center"/>
        <w:tblLayout w:type="autofit"/>
        <w:tblCellMar>
          <w:top w:w="0" w:type="dxa"/>
          <w:left w:w="108" w:type="dxa"/>
          <w:bottom w:w="0" w:type="dxa"/>
          <w:right w:w="108" w:type="dxa"/>
        </w:tblCellMar>
      </w:tblPr>
      <w:tblGrid>
        <w:gridCol w:w="1294"/>
        <w:gridCol w:w="2693"/>
        <w:gridCol w:w="3998"/>
        <w:gridCol w:w="992"/>
        <w:gridCol w:w="804"/>
      </w:tblGrid>
      <w:tr>
        <w:tblPrEx>
          <w:tblCellMar>
            <w:top w:w="0" w:type="dxa"/>
            <w:left w:w="108" w:type="dxa"/>
            <w:bottom w:w="0" w:type="dxa"/>
            <w:right w:w="108" w:type="dxa"/>
          </w:tblCellMar>
        </w:tblPrEx>
        <w:trPr>
          <w:trHeight w:val="424"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88" w:lineRule="auto"/>
              <w:jc w:val="center"/>
              <w:textAlignment w:val="center"/>
              <w:rPr>
                <w:rFonts w:ascii="仿宋" w:hAnsi="仿宋" w:eastAsia="仿宋" w:cs="仿宋"/>
                <w:b/>
                <w:color w:val="auto"/>
                <w:sz w:val="24"/>
                <w:szCs w:val="24"/>
              </w:rPr>
            </w:pPr>
            <w:r>
              <w:rPr>
                <w:rFonts w:hint="eastAsia" w:ascii="仿宋" w:hAnsi="仿宋" w:eastAsia="仿宋" w:cs="仿宋"/>
                <w:b/>
                <w:color w:val="auto"/>
                <w:kern w:val="0"/>
                <w:sz w:val="24"/>
                <w:szCs w:val="24"/>
              </w:rPr>
              <w:t>序号</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8" w:lineRule="auto"/>
              <w:jc w:val="center"/>
              <w:textAlignment w:val="center"/>
              <w:rPr>
                <w:rFonts w:ascii="仿宋" w:hAnsi="仿宋" w:eastAsia="仿宋" w:cs="仿宋"/>
                <w:b/>
                <w:color w:val="auto"/>
                <w:sz w:val="24"/>
                <w:szCs w:val="24"/>
              </w:rPr>
            </w:pPr>
            <w:r>
              <w:rPr>
                <w:rFonts w:hint="eastAsia" w:ascii="仿宋" w:hAnsi="仿宋" w:eastAsia="仿宋" w:cs="仿宋"/>
                <w:b/>
                <w:color w:val="auto"/>
                <w:kern w:val="0"/>
                <w:sz w:val="24"/>
                <w:szCs w:val="24"/>
              </w:rPr>
              <w:t>项目名称</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8" w:lineRule="auto"/>
              <w:jc w:val="center"/>
              <w:textAlignment w:val="center"/>
              <w:rPr>
                <w:rFonts w:ascii="仿宋" w:hAnsi="仿宋" w:eastAsia="仿宋" w:cs="仿宋"/>
                <w:b/>
                <w:color w:val="auto"/>
                <w:sz w:val="24"/>
                <w:szCs w:val="24"/>
              </w:rPr>
            </w:pPr>
            <w:r>
              <w:rPr>
                <w:rFonts w:ascii="仿宋" w:hAnsi="仿宋" w:eastAsia="仿宋" w:cs="仿宋"/>
                <w:b/>
                <w:color w:val="auto"/>
                <w:sz w:val="24"/>
                <w:szCs w:val="24"/>
              </w:rPr>
              <w:t>规格型号</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88" w:lineRule="auto"/>
              <w:jc w:val="center"/>
              <w:textAlignment w:val="center"/>
              <w:rPr>
                <w:rFonts w:ascii="仿宋" w:hAnsi="仿宋" w:eastAsia="仿宋" w:cs="仿宋"/>
                <w:b/>
                <w:color w:val="auto"/>
                <w:sz w:val="24"/>
                <w:szCs w:val="24"/>
              </w:rPr>
            </w:pPr>
            <w:r>
              <w:rPr>
                <w:rFonts w:hint="eastAsia" w:ascii="仿宋" w:hAnsi="仿宋" w:eastAsia="仿宋" w:cs="仿宋"/>
                <w:b/>
                <w:color w:val="auto"/>
                <w:kern w:val="0"/>
                <w:sz w:val="24"/>
                <w:szCs w:val="24"/>
              </w:rPr>
              <w:t>数量</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88" w:lineRule="auto"/>
              <w:jc w:val="center"/>
              <w:textAlignment w:val="center"/>
              <w:rPr>
                <w:rFonts w:ascii="仿宋" w:hAnsi="仿宋" w:eastAsia="仿宋" w:cs="仿宋"/>
                <w:b/>
                <w:color w:val="auto"/>
                <w:sz w:val="24"/>
                <w:szCs w:val="24"/>
              </w:rPr>
            </w:pPr>
            <w:r>
              <w:rPr>
                <w:rFonts w:hint="eastAsia" w:ascii="仿宋" w:hAnsi="仿宋" w:eastAsia="仿宋" w:cs="仿宋"/>
                <w:b/>
                <w:color w:val="auto"/>
                <w:kern w:val="0"/>
                <w:sz w:val="24"/>
                <w:szCs w:val="24"/>
              </w:rPr>
              <w:t>单位</w:t>
            </w:r>
          </w:p>
        </w:tc>
      </w:tr>
      <w:tr>
        <w:tblPrEx>
          <w:tblCellMar>
            <w:top w:w="0" w:type="dxa"/>
            <w:left w:w="108" w:type="dxa"/>
            <w:bottom w:w="0" w:type="dxa"/>
            <w:right w:w="108" w:type="dxa"/>
          </w:tblCellMar>
        </w:tblPrEx>
        <w:trPr>
          <w:trHeight w:val="543" w:hRule="atLeast"/>
          <w:jc w:val="center"/>
        </w:trPr>
        <w:tc>
          <w:tcPr>
            <w:tcW w:w="129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snapToGrid w:val="0"/>
              <w:spacing w:line="288" w:lineRule="auto"/>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8"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低压电缆</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snapToGrid w:val="0"/>
              <w:spacing w:line="288" w:lineRule="auto"/>
              <w:jc w:val="center"/>
              <w:textAlignment w:val="center"/>
              <w:rPr>
                <w:rFonts w:ascii="仿宋" w:hAnsi="仿宋" w:eastAsia="仿宋" w:cs="仿宋"/>
                <w:color w:val="auto"/>
                <w:kern w:val="0"/>
                <w:sz w:val="24"/>
                <w:szCs w:val="24"/>
              </w:rPr>
            </w:pPr>
            <w:r>
              <w:rPr>
                <w:rFonts w:ascii="仿宋" w:hAnsi="仿宋" w:eastAsia="仿宋" w:cs="仿宋"/>
                <w:color w:val="auto"/>
                <w:sz w:val="24"/>
                <w:szCs w:val="24"/>
              </w:rPr>
              <w:t>WDZC-YJY-3*240+2*120</w:t>
            </w:r>
          </w:p>
        </w:tc>
        <w:tc>
          <w:tcPr>
            <w:tcW w:w="992" w:type="dxa"/>
            <w:tcBorders>
              <w:top w:val="single" w:color="000000" w:sz="4" w:space="0"/>
              <w:left w:val="single" w:color="000000" w:sz="4" w:space="0"/>
              <w:bottom w:val="single" w:color="000000" w:sz="4" w:space="0"/>
              <w:right w:val="nil"/>
            </w:tcBorders>
            <w:shd w:val="clear" w:color="auto" w:fill="auto"/>
            <w:vAlign w:val="center"/>
          </w:tcPr>
          <w:p>
            <w:pPr>
              <w:widowControl/>
              <w:snapToGrid w:val="0"/>
              <w:spacing w:line="288" w:lineRule="auto"/>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1045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88" w:lineRule="auto"/>
              <w:jc w:val="center"/>
              <w:textAlignment w:val="center"/>
              <w:rPr>
                <w:rFonts w:ascii="仿宋" w:hAnsi="仿宋" w:eastAsia="仿宋" w:cs="仿宋"/>
                <w:color w:val="auto"/>
                <w:sz w:val="24"/>
                <w:szCs w:val="24"/>
              </w:rPr>
            </w:pPr>
            <w:r>
              <w:rPr>
                <w:rFonts w:ascii="仿宋" w:hAnsi="仿宋" w:eastAsia="仿宋" w:cs="仿宋"/>
                <w:color w:val="auto"/>
                <w:sz w:val="24"/>
                <w:szCs w:val="24"/>
              </w:rPr>
              <w:t>米</w:t>
            </w:r>
          </w:p>
        </w:tc>
      </w:tr>
    </w:tbl>
    <w:p>
      <w:pPr>
        <w:pStyle w:val="2"/>
        <w:snapToGrid w:val="0"/>
        <w:spacing w:line="288" w:lineRule="auto"/>
        <w:rPr>
          <w:rFonts w:ascii="仿宋" w:hAnsi="仿宋" w:eastAsia="仿宋"/>
          <w:b/>
          <w:color w:val="auto"/>
          <w:sz w:val="24"/>
        </w:rPr>
      </w:pPr>
    </w:p>
    <w:p>
      <w:pPr>
        <w:pStyle w:val="2"/>
        <w:snapToGrid w:val="0"/>
        <w:spacing w:line="288" w:lineRule="auto"/>
        <w:rPr>
          <w:rFonts w:ascii="仿宋" w:hAnsi="仿宋" w:eastAsia="仿宋"/>
          <w:b/>
          <w:color w:val="auto"/>
          <w:sz w:val="24"/>
        </w:rPr>
      </w:pPr>
      <w:r>
        <w:rPr>
          <w:rFonts w:hint="eastAsia" w:ascii="仿宋" w:hAnsi="仿宋" w:eastAsia="仿宋"/>
          <w:b/>
          <w:color w:val="auto"/>
          <w:sz w:val="24"/>
        </w:rPr>
        <w:t>三、产品需满足的功能和质量要求、技术要求，包括性能、材料、结构、外观、安全或服务内容和标准等</w:t>
      </w:r>
    </w:p>
    <w:p>
      <w:pPr>
        <w:pStyle w:val="2"/>
        <w:snapToGrid w:val="0"/>
        <w:spacing w:line="288" w:lineRule="auto"/>
        <w:rPr>
          <w:rFonts w:ascii="仿宋" w:hAnsi="仿宋" w:eastAsia="仿宋"/>
          <w:b/>
          <w:color w:val="auto"/>
          <w:sz w:val="24"/>
          <w:szCs w:val="24"/>
        </w:rPr>
      </w:pPr>
      <w:r>
        <w:rPr>
          <w:rFonts w:hint="eastAsia" w:ascii="仿宋" w:hAnsi="仿宋" w:eastAsia="仿宋"/>
          <w:b/>
          <w:color w:val="auto"/>
          <w:sz w:val="24"/>
          <w:szCs w:val="24"/>
        </w:rPr>
        <w:t>（一）质量要求及技术要求</w:t>
      </w:r>
    </w:p>
    <w:p>
      <w:pPr>
        <w:snapToGrid w:val="0"/>
        <w:spacing w:line="283" w:lineRule="auto"/>
        <w:rPr>
          <w:rFonts w:ascii="仿宋" w:hAnsi="仿宋" w:eastAsia="仿宋"/>
          <w:b/>
          <w:color w:val="auto"/>
          <w:sz w:val="24"/>
        </w:rPr>
      </w:pPr>
      <w:r>
        <w:rPr>
          <w:rFonts w:ascii="仿宋" w:hAnsi="仿宋" w:eastAsia="仿宋"/>
          <w:b/>
          <w:color w:val="auto"/>
          <w:sz w:val="24"/>
        </w:rPr>
        <w:t>1</w:t>
      </w:r>
      <w:r>
        <w:rPr>
          <w:rFonts w:hint="eastAsia" w:ascii="仿宋" w:hAnsi="仿宋" w:eastAsia="仿宋"/>
          <w:b/>
          <w:color w:val="auto"/>
          <w:sz w:val="24"/>
        </w:rPr>
        <w:t>、使用特性</w:t>
      </w:r>
    </w:p>
    <w:p>
      <w:pPr>
        <w:snapToGrid w:val="0"/>
        <w:spacing w:line="283" w:lineRule="auto"/>
        <w:rPr>
          <w:rFonts w:ascii="仿宋" w:hAnsi="仿宋" w:eastAsia="仿宋"/>
          <w:color w:val="auto"/>
          <w:sz w:val="24"/>
        </w:rPr>
      </w:pPr>
      <w:r>
        <w:rPr>
          <w:rFonts w:hint="eastAsia" w:ascii="仿宋" w:hAnsi="仿宋" w:eastAsia="仿宋"/>
          <w:color w:val="auto"/>
          <w:sz w:val="24"/>
        </w:rPr>
        <w:t>▲1）额定电压U0/U为0.6/1kV，最高电压不低于1.2kV，使用频率为50Hz。</w:t>
      </w:r>
    </w:p>
    <w:p>
      <w:pPr>
        <w:snapToGrid w:val="0"/>
        <w:spacing w:line="283" w:lineRule="auto"/>
        <w:rPr>
          <w:rFonts w:ascii="仿宋" w:hAnsi="仿宋" w:eastAsia="仿宋"/>
          <w:color w:val="auto"/>
          <w:sz w:val="24"/>
          <w:szCs w:val="24"/>
        </w:rPr>
      </w:pPr>
      <w:r>
        <w:rPr>
          <w:rFonts w:hint="eastAsia" w:ascii="仿宋" w:hAnsi="仿宋" w:eastAsia="仿宋"/>
          <w:color w:val="auto"/>
          <w:sz w:val="24"/>
        </w:rPr>
        <w:t>符合</w:t>
      </w:r>
      <w:r>
        <w:rPr>
          <w:rFonts w:ascii="仿宋" w:hAnsi="仿宋" w:eastAsia="仿宋"/>
          <w:color w:val="auto"/>
          <w:sz w:val="24"/>
        </w:rPr>
        <w:t>GB/T12706.1—2020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p>
    <w:p>
      <w:pPr>
        <w:snapToGrid w:val="0"/>
        <w:spacing w:line="283" w:lineRule="auto"/>
        <w:rPr>
          <w:rFonts w:ascii="仿宋" w:hAnsi="仿宋" w:eastAsia="仿宋"/>
          <w:color w:val="auto"/>
          <w:sz w:val="24"/>
        </w:rPr>
      </w:pPr>
      <w:r>
        <w:rPr>
          <w:rFonts w:hint="eastAsia" w:ascii="仿宋" w:hAnsi="仿宋" w:eastAsia="仿宋"/>
          <w:color w:val="auto"/>
          <w:sz w:val="24"/>
          <w:szCs w:val="24"/>
        </w:rPr>
        <w:t>（</w:t>
      </w:r>
      <w:r>
        <w:rPr>
          <w:rFonts w:hint="eastAsia" w:ascii="仿宋" w:hAnsi="仿宋" w:eastAsia="仿宋"/>
          <w:color w:val="auto"/>
          <w:sz w:val="24"/>
        </w:rPr>
        <w:t>提供</w:t>
      </w:r>
      <w:r>
        <w:rPr>
          <w:rFonts w:hint="eastAsia" w:ascii="仿宋" w:hAnsi="仿宋" w:eastAsia="仿宋"/>
          <w:color w:val="auto"/>
          <w:sz w:val="24"/>
          <w:lang w:val="en-US" w:eastAsia="zh-CN"/>
        </w:rPr>
        <w:t>大于或等于</w:t>
      </w:r>
      <w:r>
        <w:rPr>
          <w:rFonts w:hint="eastAsia" w:ascii="仿宋" w:hAnsi="仿宋" w:eastAsia="仿宋"/>
          <w:color w:val="auto"/>
          <w:sz w:val="24"/>
        </w:rPr>
        <w:t>该投标规格型号的电缆</w:t>
      </w:r>
      <w:r>
        <w:rPr>
          <w:rFonts w:hint="eastAsia" w:ascii="仿宋" w:hAnsi="仿宋" w:eastAsia="仿宋"/>
          <w:color w:val="auto"/>
          <w:sz w:val="24"/>
          <w:lang w:val="en-US" w:eastAsia="zh-CN"/>
        </w:rPr>
        <w:t>的带CMA标识</w:t>
      </w:r>
      <w:r>
        <w:rPr>
          <w:rFonts w:hint="eastAsia" w:ascii="仿宋" w:hAnsi="仿宋" w:eastAsia="仿宋"/>
          <w:color w:val="auto"/>
          <w:sz w:val="24"/>
        </w:rPr>
        <w:t>检测报告</w:t>
      </w:r>
      <w:r>
        <w:rPr>
          <w:rFonts w:hint="eastAsia" w:ascii="仿宋" w:hAnsi="仿宋" w:eastAsia="仿宋"/>
          <w:color w:val="auto"/>
          <w:sz w:val="24"/>
          <w:lang w:eastAsia="zh-CN"/>
        </w:rPr>
        <w:t>、</w:t>
      </w:r>
      <w:r>
        <w:rPr>
          <w:rFonts w:hint="eastAsia" w:ascii="仿宋" w:hAnsi="仿宋" w:eastAsia="仿宋"/>
          <w:color w:val="auto"/>
          <w:sz w:val="24"/>
        </w:rPr>
        <w:t>产品样册或技术资料，原件扫描上传至电子投标文件中。）</w:t>
      </w:r>
    </w:p>
    <w:p>
      <w:pPr>
        <w:snapToGrid w:val="0"/>
        <w:spacing w:line="283" w:lineRule="auto"/>
        <w:rPr>
          <w:rFonts w:ascii="仿宋" w:hAnsi="仿宋" w:eastAsia="仿宋"/>
          <w:color w:val="auto"/>
          <w:sz w:val="24"/>
        </w:rPr>
      </w:pPr>
      <w:r>
        <w:rPr>
          <w:rFonts w:hint="eastAsia" w:ascii="仿宋" w:hAnsi="仿宋" w:eastAsia="仿宋"/>
          <w:color w:val="auto"/>
          <w:sz w:val="24"/>
        </w:rPr>
        <w:t>2）敷设条件：敷设电缆时的环境温度不低于0℃，可用于沟、槽、桥架等方式。</w:t>
      </w:r>
    </w:p>
    <w:p>
      <w:pPr>
        <w:snapToGrid w:val="0"/>
        <w:spacing w:line="283" w:lineRule="auto"/>
        <w:rPr>
          <w:rFonts w:ascii="仿宋" w:hAnsi="仿宋" w:eastAsia="仿宋"/>
          <w:b/>
          <w:color w:val="auto"/>
          <w:sz w:val="24"/>
        </w:rPr>
      </w:pPr>
      <w:r>
        <w:rPr>
          <w:rFonts w:ascii="仿宋" w:hAnsi="仿宋" w:eastAsia="仿宋"/>
          <w:b/>
          <w:color w:val="auto"/>
          <w:sz w:val="24"/>
        </w:rPr>
        <w:t>2</w:t>
      </w:r>
      <w:r>
        <w:rPr>
          <w:rFonts w:hint="eastAsia" w:ascii="仿宋" w:hAnsi="仿宋" w:eastAsia="仿宋"/>
          <w:b/>
          <w:color w:val="auto"/>
          <w:sz w:val="24"/>
        </w:rPr>
        <w:t>、运行要求</w:t>
      </w:r>
    </w:p>
    <w:p>
      <w:pPr>
        <w:snapToGrid w:val="0"/>
        <w:spacing w:line="283" w:lineRule="auto"/>
        <w:rPr>
          <w:rFonts w:hint="eastAsia" w:ascii="仿宋" w:hAnsi="仿宋" w:eastAsia="仿宋"/>
          <w:color w:val="auto"/>
          <w:sz w:val="24"/>
          <w:lang w:eastAsia="zh-CN"/>
        </w:rPr>
      </w:pPr>
      <w:r>
        <w:rPr>
          <w:rFonts w:hint="eastAsia" w:ascii="仿宋" w:hAnsi="仿宋" w:eastAsia="仿宋"/>
          <w:color w:val="auto"/>
          <w:sz w:val="24"/>
        </w:rPr>
        <w:t>▲1）电缆导体的最高额定温度为90℃</w:t>
      </w:r>
      <w:r>
        <w:rPr>
          <w:rFonts w:hint="eastAsia" w:ascii="仿宋" w:hAnsi="仿宋" w:eastAsia="仿宋"/>
          <w:color w:val="auto"/>
          <w:sz w:val="24"/>
          <w:lang w:eastAsia="zh-CN"/>
        </w:rPr>
        <w:t>。</w:t>
      </w:r>
    </w:p>
    <w:p>
      <w:pPr>
        <w:snapToGrid w:val="0"/>
        <w:spacing w:line="283" w:lineRule="auto"/>
        <w:rPr>
          <w:rFonts w:ascii="仿宋" w:hAnsi="仿宋" w:eastAsia="仿宋"/>
          <w:color w:val="auto"/>
          <w:sz w:val="24"/>
          <w:szCs w:val="24"/>
        </w:rPr>
      </w:pPr>
      <w:r>
        <w:rPr>
          <w:rFonts w:hint="eastAsia" w:ascii="仿宋" w:hAnsi="仿宋" w:eastAsia="仿宋"/>
          <w:color w:val="auto"/>
          <w:sz w:val="24"/>
        </w:rPr>
        <w:t>符合</w:t>
      </w:r>
      <w:r>
        <w:rPr>
          <w:rFonts w:ascii="仿宋" w:hAnsi="仿宋" w:eastAsia="仿宋"/>
          <w:color w:val="auto"/>
          <w:sz w:val="24"/>
        </w:rPr>
        <w:t>GB/T</w:t>
      </w:r>
      <w:r>
        <w:rPr>
          <w:rFonts w:hint="eastAsia" w:ascii="仿宋" w:hAnsi="仿宋" w:eastAsia="仿宋"/>
          <w:color w:val="auto"/>
          <w:sz w:val="24"/>
        </w:rPr>
        <w:t>19666-2019</w:t>
      </w:r>
      <w:r>
        <w:rPr>
          <w:rFonts w:hint="eastAsia" w:ascii="仿宋" w:hAnsi="仿宋" w:eastAsia="仿宋"/>
          <w:color w:val="auto"/>
          <w:sz w:val="24"/>
          <w:szCs w:val="24"/>
        </w:rPr>
        <w:t>《阻燃和耐火电线电缆或光缆通则》</w:t>
      </w:r>
    </w:p>
    <w:p>
      <w:pPr>
        <w:snapToGrid w:val="0"/>
        <w:spacing w:line="283" w:lineRule="auto"/>
        <w:rPr>
          <w:rFonts w:ascii="仿宋" w:hAnsi="仿宋" w:eastAsia="仿宋"/>
          <w:color w:val="auto"/>
          <w:sz w:val="24"/>
        </w:rPr>
      </w:pPr>
      <w:r>
        <w:rPr>
          <w:rFonts w:hint="eastAsia" w:ascii="仿宋" w:hAnsi="仿宋" w:eastAsia="仿宋"/>
          <w:color w:val="auto"/>
          <w:sz w:val="24"/>
          <w:szCs w:val="24"/>
        </w:rPr>
        <w:t>（</w:t>
      </w:r>
      <w:r>
        <w:rPr>
          <w:rFonts w:hint="eastAsia" w:ascii="仿宋" w:hAnsi="仿宋" w:eastAsia="仿宋"/>
          <w:color w:val="auto"/>
          <w:sz w:val="24"/>
        </w:rPr>
        <w:t>提供</w:t>
      </w:r>
      <w:r>
        <w:rPr>
          <w:rFonts w:hint="eastAsia" w:ascii="仿宋" w:hAnsi="仿宋" w:eastAsia="仿宋"/>
          <w:color w:val="auto"/>
          <w:sz w:val="24"/>
          <w:lang w:val="en-US" w:eastAsia="zh-CN"/>
        </w:rPr>
        <w:t>大于或等于</w:t>
      </w:r>
      <w:r>
        <w:rPr>
          <w:rFonts w:hint="eastAsia" w:ascii="仿宋" w:hAnsi="仿宋" w:eastAsia="仿宋"/>
          <w:color w:val="auto"/>
          <w:sz w:val="24"/>
        </w:rPr>
        <w:t>该投标规格型号的电缆</w:t>
      </w:r>
      <w:r>
        <w:rPr>
          <w:rFonts w:hint="eastAsia" w:ascii="仿宋" w:hAnsi="仿宋" w:eastAsia="仿宋"/>
          <w:color w:val="auto"/>
          <w:sz w:val="24"/>
          <w:lang w:val="en-US" w:eastAsia="zh-CN"/>
        </w:rPr>
        <w:t>的带CMA标识</w:t>
      </w:r>
      <w:r>
        <w:rPr>
          <w:rFonts w:hint="eastAsia" w:ascii="仿宋" w:hAnsi="仿宋" w:eastAsia="仿宋"/>
          <w:color w:val="auto"/>
          <w:sz w:val="24"/>
        </w:rPr>
        <w:t>检测报告</w:t>
      </w:r>
      <w:r>
        <w:rPr>
          <w:rFonts w:hint="eastAsia" w:ascii="仿宋" w:hAnsi="仿宋" w:eastAsia="仿宋"/>
          <w:color w:val="auto"/>
          <w:sz w:val="24"/>
          <w:lang w:eastAsia="zh-CN"/>
        </w:rPr>
        <w:t>、</w:t>
      </w:r>
      <w:r>
        <w:rPr>
          <w:rFonts w:hint="eastAsia" w:ascii="仿宋" w:hAnsi="仿宋" w:eastAsia="仿宋"/>
          <w:color w:val="auto"/>
          <w:sz w:val="24"/>
        </w:rPr>
        <w:t>产品样册或技术资料，原件扫描上传至电子投标文件中。）</w:t>
      </w:r>
    </w:p>
    <w:p>
      <w:pPr>
        <w:snapToGrid w:val="0"/>
        <w:spacing w:line="283" w:lineRule="auto"/>
        <w:rPr>
          <w:rFonts w:hint="eastAsia" w:ascii="仿宋" w:hAnsi="仿宋" w:eastAsia="仿宋"/>
          <w:color w:val="auto"/>
          <w:sz w:val="24"/>
          <w:lang w:eastAsia="zh-CN"/>
        </w:rPr>
      </w:pPr>
      <w:r>
        <w:rPr>
          <w:rFonts w:hint="eastAsia" w:ascii="仿宋" w:hAnsi="仿宋" w:eastAsia="仿宋"/>
          <w:color w:val="auto"/>
          <w:sz w:val="24"/>
        </w:rPr>
        <w:t>▲2）短路时（最长持续时间不超过5S）电缆导体最高温度不超过250℃</w:t>
      </w:r>
      <w:r>
        <w:rPr>
          <w:rFonts w:hint="eastAsia" w:ascii="仿宋" w:hAnsi="仿宋" w:eastAsia="仿宋"/>
          <w:color w:val="auto"/>
          <w:sz w:val="24"/>
          <w:lang w:eastAsia="zh-CN"/>
        </w:rPr>
        <w:t>。</w:t>
      </w:r>
    </w:p>
    <w:p>
      <w:pPr>
        <w:snapToGrid w:val="0"/>
        <w:spacing w:line="283" w:lineRule="auto"/>
        <w:rPr>
          <w:rFonts w:ascii="仿宋" w:hAnsi="仿宋" w:eastAsia="仿宋"/>
          <w:color w:val="auto"/>
          <w:sz w:val="24"/>
          <w:szCs w:val="24"/>
        </w:rPr>
      </w:pPr>
      <w:r>
        <w:rPr>
          <w:rFonts w:hint="eastAsia" w:ascii="仿宋" w:hAnsi="仿宋" w:eastAsia="仿宋"/>
          <w:color w:val="auto"/>
          <w:sz w:val="24"/>
        </w:rPr>
        <w:t>符合</w:t>
      </w:r>
      <w:r>
        <w:rPr>
          <w:rFonts w:ascii="仿宋" w:hAnsi="仿宋" w:eastAsia="仿宋"/>
          <w:color w:val="auto"/>
          <w:sz w:val="24"/>
        </w:rPr>
        <w:t>GB/T</w:t>
      </w:r>
      <w:r>
        <w:rPr>
          <w:rFonts w:hint="eastAsia" w:ascii="仿宋" w:hAnsi="仿宋" w:eastAsia="仿宋"/>
          <w:color w:val="auto"/>
          <w:sz w:val="24"/>
        </w:rPr>
        <w:t>19666-2019</w:t>
      </w:r>
      <w:r>
        <w:rPr>
          <w:rFonts w:hint="eastAsia" w:ascii="仿宋" w:hAnsi="仿宋" w:eastAsia="仿宋"/>
          <w:color w:val="auto"/>
          <w:sz w:val="24"/>
          <w:szCs w:val="24"/>
        </w:rPr>
        <w:t>《阻燃和耐火电线电缆或光缆通则》</w:t>
      </w:r>
    </w:p>
    <w:p>
      <w:pPr>
        <w:snapToGrid w:val="0"/>
        <w:spacing w:line="283" w:lineRule="auto"/>
        <w:rPr>
          <w:rFonts w:ascii="仿宋" w:hAnsi="仿宋" w:eastAsia="仿宋"/>
          <w:color w:val="auto"/>
          <w:sz w:val="24"/>
        </w:rPr>
      </w:pPr>
      <w:r>
        <w:rPr>
          <w:rFonts w:hint="eastAsia" w:ascii="仿宋" w:hAnsi="仿宋" w:eastAsia="仿宋"/>
          <w:color w:val="auto"/>
          <w:sz w:val="24"/>
          <w:szCs w:val="24"/>
        </w:rPr>
        <w:t>（</w:t>
      </w:r>
      <w:r>
        <w:rPr>
          <w:rFonts w:hint="eastAsia" w:ascii="仿宋" w:hAnsi="仿宋" w:eastAsia="仿宋"/>
          <w:color w:val="auto"/>
          <w:sz w:val="24"/>
        </w:rPr>
        <w:t>提供</w:t>
      </w:r>
      <w:r>
        <w:rPr>
          <w:rFonts w:hint="eastAsia" w:ascii="仿宋" w:hAnsi="仿宋" w:eastAsia="仿宋"/>
          <w:color w:val="auto"/>
          <w:sz w:val="24"/>
          <w:lang w:val="en-US" w:eastAsia="zh-CN"/>
        </w:rPr>
        <w:t>大于或等于</w:t>
      </w:r>
      <w:r>
        <w:rPr>
          <w:rFonts w:hint="eastAsia" w:ascii="仿宋" w:hAnsi="仿宋" w:eastAsia="仿宋"/>
          <w:color w:val="auto"/>
          <w:sz w:val="24"/>
        </w:rPr>
        <w:t>该投标规格型号的电缆</w:t>
      </w:r>
      <w:r>
        <w:rPr>
          <w:rFonts w:hint="eastAsia" w:ascii="仿宋" w:hAnsi="仿宋" w:eastAsia="仿宋"/>
          <w:color w:val="auto"/>
          <w:sz w:val="24"/>
          <w:lang w:val="en-US" w:eastAsia="zh-CN"/>
        </w:rPr>
        <w:t>的带CMA标识</w:t>
      </w:r>
      <w:r>
        <w:rPr>
          <w:rFonts w:hint="eastAsia" w:ascii="仿宋" w:hAnsi="仿宋" w:eastAsia="仿宋"/>
          <w:color w:val="auto"/>
          <w:sz w:val="24"/>
        </w:rPr>
        <w:t>检测报告</w:t>
      </w:r>
      <w:r>
        <w:rPr>
          <w:rFonts w:hint="eastAsia" w:ascii="仿宋" w:hAnsi="仿宋" w:eastAsia="仿宋"/>
          <w:color w:val="auto"/>
          <w:sz w:val="24"/>
          <w:lang w:eastAsia="zh-CN"/>
        </w:rPr>
        <w:t>、</w:t>
      </w:r>
      <w:r>
        <w:rPr>
          <w:rFonts w:hint="eastAsia" w:ascii="仿宋" w:hAnsi="仿宋" w:eastAsia="仿宋"/>
          <w:color w:val="auto"/>
          <w:sz w:val="24"/>
        </w:rPr>
        <w:t>产品样册或技术资料，原件扫描上传至电子投标文件中。）</w:t>
      </w:r>
    </w:p>
    <w:p>
      <w:pPr>
        <w:snapToGrid w:val="0"/>
        <w:spacing w:line="283" w:lineRule="auto"/>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3</w:t>
      </w:r>
      <w:r>
        <w:rPr>
          <w:rFonts w:hint="eastAsia" w:ascii="仿宋" w:hAnsi="仿宋" w:eastAsia="仿宋"/>
          <w:color w:val="auto"/>
          <w:sz w:val="24"/>
        </w:rPr>
        <w:t>、电缆敷设时允许的最小弯曲半径：</w:t>
      </w:r>
    </w:p>
    <w:p>
      <w:pPr>
        <w:snapToGrid w:val="0"/>
        <w:spacing w:line="283" w:lineRule="auto"/>
        <w:rPr>
          <w:rFonts w:ascii="仿宋" w:hAnsi="仿宋" w:eastAsia="仿宋"/>
          <w:color w:val="auto"/>
          <w:sz w:val="24"/>
          <w:szCs w:val="24"/>
        </w:rPr>
      </w:pPr>
      <w:r>
        <w:rPr>
          <w:rFonts w:hint="eastAsia" w:ascii="仿宋" w:hAnsi="仿宋" w:eastAsia="仿宋"/>
          <w:color w:val="auto"/>
          <w:sz w:val="24"/>
        </w:rPr>
        <w:t>符合</w:t>
      </w:r>
      <w:r>
        <w:rPr>
          <w:rFonts w:ascii="仿宋" w:hAnsi="仿宋" w:eastAsia="仿宋"/>
          <w:color w:val="auto"/>
          <w:sz w:val="24"/>
        </w:rPr>
        <w:t>GB/T12706.1—2020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p>
    <w:tbl>
      <w:tblPr>
        <w:tblStyle w:val="13"/>
        <w:tblW w:w="9700" w:type="dxa"/>
        <w:jc w:val="center"/>
        <w:tblLayout w:type="fixed"/>
        <w:tblCellMar>
          <w:top w:w="0" w:type="dxa"/>
          <w:left w:w="108" w:type="dxa"/>
          <w:bottom w:w="0" w:type="dxa"/>
          <w:right w:w="108" w:type="dxa"/>
        </w:tblCellMar>
      </w:tblPr>
      <w:tblGrid>
        <w:gridCol w:w="2954"/>
        <w:gridCol w:w="2624"/>
        <w:gridCol w:w="1376"/>
        <w:gridCol w:w="1600"/>
        <w:gridCol w:w="1146"/>
      </w:tblGrid>
      <w:tr>
        <w:tblPrEx>
          <w:tblCellMar>
            <w:top w:w="0" w:type="dxa"/>
            <w:left w:w="108" w:type="dxa"/>
            <w:bottom w:w="0" w:type="dxa"/>
            <w:right w:w="108" w:type="dxa"/>
          </w:tblCellMar>
        </w:tblPrEx>
        <w:trPr>
          <w:jc w:val="center"/>
        </w:trPr>
        <w:tc>
          <w:tcPr>
            <w:tcW w:w="295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r>
              <w:rPr>
                <w:rFonts w:hint="eastAsia" w:ascii="仿宋" w:hAnsi="仿宋" w:eastAsia="仿宋"/>
                <w:color w:val="auto"/>
                <w:sz w:val="24"/>
                <w:szCs w:val="24"/>
              </w:rPr>
              <w:t>项  目</w:t>
            </w:r>
          </w:p>
        </w:tc>
        <w:tc>
          <w:tcPr>
            <w:tcW w:w="4000" w:type="dxa"/>
            <w:gridSpan w:val="2"/>
            <w:tcBorders>
              <w:top w:val="single" w:color="auto" w:sz="4" w:space="0"/>
              <w:left w:val="nil"/>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r>
              <w:rPr>
                <w:rFonts w:hint="eastAsia" w:ascii="仿宋" w:hAnsi="仿宋" w:eastAsia="仿宋"/>
                <w:color w:val="auto"/>
                <w:sz w:val="24"/>
                <w:szCs w:val="24"/>
              </w:rPr>
              <w:t>单芯电缆</w:t>
            </w:r>
          </w:p>
        </w:tc>
        <w:tc>
          <w:tcPr>
            <w:tcW w:w="2746" w:type="dxa"/>
            <w:gridSpan w:val="2"/>
            <w:tcBorders>
              <w:top w:val="single" w:color="auto" w:sz="4" w:space="0"/>
              <w:left w:val="nil"/>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r>
              <w:rPr>
                <w:rFonts w:hint="eastAsia" w:ascii="仿宋" w:hAnsi="仿宋" w:eastAsia="仿宋"/>
                <w:color w:val="auto"/>
                <w:sz w:val="24"/>
                <w:szCs w:val="24"/>
              </w:rPr>
              <w:t>三芯电缆</w:t>
            </w:r>
          </w:p>
        </w:tc>
      </w:tr>
      <w:tr>
        <w:tblPrEx>
          <w:tblCellMar>
            <w:top w:w="0" w:type="dxa"/>
            <w:left w:w="108" w:type="dxa"/>
            <w:bottom w:w="0" w:type="dxa"/>
            <w:right w:w="108" w:type="dxa"/>
          </w:tblCellMar>
        </w:tblPrEx>
        <w:trPr>
          <w:jc w:val="center"/>
        </w:trPr>
        <w:tc>
          <w:tcPr>
            <w:tcW w:w="295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p>
        </w:tc>
        <w:tc>
          <w:tcPr>
            <w:tcW w:w="2624" w:type="dxa"/>
            <w:tcBorders>
              <w:top w:val="single" w:color="auto" w:sz="4" w:space="0"/>
              <w:left w:val="nil"/>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r>
              <w:rPr>
                <w:rFonts w:hint="eastAsia" w:ascii="仿宋" w:hAnsi="仿宋" w:eastAsia="仿宋"/>
                <w:color w:val="auto"/>
                <w:sz w:val="24"/>
                <w:szCs w:val="24"/>
              </w:rPr>
              <w:t>无铠装</w:t>
            </w:r>
          </w:p>
        </w:tc>
        <w:tc>
          <w:tcPr>
            <w:tcW w:w="1376" w:type="dxa"/>
            <w:tcBorders>
              <w:top w:val="single" w:color="auto" w:sz="4" w:space="0"/>
              <w:left w:val="nil"/>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r>
              <w:rPr>
                <w:rFonts w:hint="eastAsia" w:ascii="仿宋" w:hAnsi="仿宋" w:eastAsia="仿宋"/>
                <w:color w:val="auto"/>
                <w:sz w:val="24"/>
                <w:szCs w:val="24"/>
              </w:rPr>
              <w:t>有铠装</w:t>
            </w:r>
          </w:p>
        </w:tc>
        <w:tc>
          <w:tcPr>
            <w:tcW w:w="1600" w:type="dxa"/>
            <w:tcBorders>
              <w:top w:val="single" w:color="auto" w:sz="4" w:space="0"/>
              <w:left w:val="nil"/>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r>
              <w:rPr>
                <w:rFonts w:hint="eastAsia" w:ascii="仿宋" w:hAnsi="仿宋" w:eastAsia="仿宋"/>
                <w:color w:val="auto"/>
                <w:sz w:val="24"/>
                <w:szCs w:val="24"/>
              </w:rPr>
              <w:t>无铠装</w:t>
            </w:r>
          </w:p>
        </w:tc>
        <w:tc>
          <w:tcPr>
            <w:tcW w:w="1146" w:type="dxa"/>
            <w:tcBorders>
              <w:top w:val="single" w:color="auto" w:sz="4" w:space="0"/>
              <w:left w:val="nil"/>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r>
              <w:rPr>
                <w:rFonts w:hint="eastAsia" w:ascii="仿宋" w:hAnsi="仿宋" w:eastAsia="仿宋"/>
                <w:color w:val="auto"/>
                <w:sz w:val="24"/>
                <w:szCs w:val="24"/>
              </w:rPr>
              <w:t>有铠装</w:t>
            </w:r>
          </w:p>
        </w:tc>
      </w:tr>
      <w:tr>
        <w:tblPrEx>
          <w:tblCellMar>
            <w:top w:w="0" w:type="dxa"/>
            <w:left w:w="108" w:type="dxa"/>
            <w:bottom w:w="0" w:type="dxa"/>
            <w:right w:w="108" w:type="dxa"/>
          </w:tblCellMar>
        </w:tblPrEx>
        <w:trPr>
          <w:jc w:val="center"/>
        </w:trPr>
        <w:tc>
          <w:tcPr>
            <w:tcW w:w="29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r>
              <w:rPr>
                <w:rFonts w:hint="eastAsia" w:ascii="仿宋" w:hAnsi="仿宋" w:eastAsia="仿宋"/>
                <w:color w:val="auto"/>
                <w:sz w:val="24"/>
                <w:szCs w:val="24"/>
              </w:rPr>
              <w:t>安装时电缆最小弯曲半径</w:t>
            </w:r>
          </w:p>
        </w:tc>
        <w:tc>
          <w:tcPr>
            <w:tcW w:w="2624" w:type="dxa"/>
            <w:tcBorders>
              <w:top w:val="single" w:color="auto" w:sz="4" w:space="0"/>
              <w:left w:val="nil"/>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r>
              <w:rPr>
                <w:rFonts w:hint="eastAsia" w:ascii="仿宋" w:hAnsi="仿宋" w:eastAsia="仿宋"/>
                <w:color w:val="auto"/>
                <w:sz w:val="24"/>
                <w:szCs w:val="24"/>
              </w:rPr>
              <w:t>20D</w:t>
            </w:r>
          </w:p>
        </w:tc>
        <w:tc>
          <w:tcPr>
            <w:tcW w:w="1376" w:type="dxa"/>
            <w:tcBorders>
              <w:top w:val="single" w:color="auto" w:sz="4" w:space="0"/>
              <w:left w:val="nil"/>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r>
              <w:rPr>
                <w:rFonts w:hint="eastAsia" w:ascii="仿宋" w:hAnsi="仿宋" w:eastAsia="仿宋"/>
                <w:color w:val="auto"/>
                <w:sz w:val="24"/>
                <w:szCs w:val="24"/>
              </w:rPr>
              <w:t>15D</w:t>
            </w:r>
          </w:p>
        </w:tc>
        <w:tc>
          <w:tcPr>
            <w:tcW w:w="1600" w:type="dxa"/>
            <w:tcBorders>
              <w:top w:val="single" w:color="auto" w:sz="4" w:space="0"/>
              <w:left w:val="nil"/>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r>
              <w:rPr>
                <w:rFonts w:hint="eastAsia" w:ascii="仿宋" w:hAnsi="仿宋" w:eastAsia="仿宋"/>
                <w:color w:val="auto"/>
                <w:sz w:val="24"/>
                <w:szCs w:val="24"/>
              </w:rPr>
              <w:t>15D</w:t>
            </w:r>
          </w:p>
        </w:tc>
        <w:tc>
          <w:tcPr>
            <w:tcW w:w="1146" w:type="dxa"/>
            <w:tcBorders>
              <w:top w:val="single" w:color="auto" w:sz="4" w:space="0"/>
              <w:left w:val="nil"/>
              <w:bottom w:val="single" w:color="auto" w:sz="4" w:space="0"/>
              <w:right w:val="single" w:color="auto" w:sz="4" w:space="0"/>
            </w:tcBorders>
            <w:vAlign w:val="center"/>
          </w:tcPr>
          <w:p>
            <w:pPr>
              <w:adjustRightInd w:val="0"/>
              <w:snapToGrid w:val="0"/>
              <w:spacing w:line="283" w:lineRule="auto"/>
              <w:jc w:val="center"/>
              <w:rPr>
                <w:rFonts w:ascii="仿宋" w:hAnsi="仿宋" w:eastAsia="仿宋"/>
                <w:color w:val="auto"/>
                <w:sz w:val="24"/>
                <w:szCs w:val="24"/>
              </w:rPr>
            </w:pPr>
            <w:r>
              <w:rPr>
                <w:rFonts w:hint="eastAsia" w:ascii="仿宋" w:hAnsi="仿宋" w:eastAsia="仿宋"/>
                <w:color w:val="auto"/>
                <w:sz w:val="24"/>
                <w:szCs w:val="24"/>
              </w:rPr>
              <w:t>12D</w:t>
            </w:r>
          </w:p>
        </w:tc>
      </w:tr>
      <w:tr>
        <w:tblPrEx>
          <w:tblCellMar>
            <w:top w:w="0" w:type="dxa"/>
            <w:left w:w="108" w:type="dxa"/>
            <w:bottom w:w="0" w:type="dxa"/>
            <w:right w:w="108" w:type="dxa"/>
          </w:tblCellMar>
        </w:tblPrEx>
        <w:trPr>
          <w:trHeight w:val="311"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3" w:lineRule="auto"/>
              <w:rPr>
                <w:rFonts w:ascii="仿宋" w:hAnsi="仿宋" w:eastAsia="仿宋"/>
                <w:color w:val="auto"/>
                <w:sz w:val="24"/>
                <w:szCs w:val="24"/>
              </w:rPr>
            </w:pPr>
            <w:r>
              <w:rPr>
                <w:rFonts w:hint="eastAsia" w:ascii="仿宋" w:hAnsi="仿宋" w:eastAsia="仿宋"/>
                <w:color w:val="auto"/>
                <w:sz w:val="24"/>
                <w:szCs w:val="24"/>
              </w:rPr>
              <w:t>注：D为电缆外径</w:t>
            </w:r>
          </w:p>
        </w:tc>
      </w:tr>
    </w:tbl>
    <w:p>
      <w:pPr>
        <w:snapToGrid w:val="0"/>
        <w:spacing w:line="283" w:lineRule="auto"/>
        <w:rPr>
          <w:rFonts w:ascii="仿宋" w:hAnsi="仿宋" w:eastAsia="仿宋"/>
          <w:color w:val="auto"/>
          <w:sz w:val="24"/>
        </w:rPr>
      </w:pPr>
      <w:r>
        <w:rPr>
          <w:rFonts w:hint="eastAsia" w:ascii="仿宋" w:hAnsi="仿宋" w:eastAsia="仿宋"/>
          <w:color w:val="auto"/>
          <w:sz w:val="24"/>
        </w:rPr>
        <w:t>（提供加盖投标人公章的承诺书，原件扫描上传至电子投标文件中）</w:t>
      </w:r>
    </w:p>
    <w:p>
      <w:pPr>
        <w:pStyle w:val="2"/>
        <w:snapToGrid w:val="0"/>
        <w:spacing w:line="288" w:lineRule="auto"/>
        <w:rPr>
          <w:rFonts w:ascii="仿宋" w:hAnsi="仿宋" w:eastAsia="仿宋"/>
          <w:b/>
          <w:color w:val="auto"/>
          <w:sz w:val="24"/>
          <w:szCs w:val="24"/>
        </w:rPr>
      </w:pPr>
      <w:r>
        <w:rPr>
          <w:rFonts w:hint="eastAsia" w:ascii="仿宋" w:hAnsi="仿宋" w:eastAsia="仿宋"/>
          <w:b/>
          <w:color w:val="auto"/>
          <w:sz w:val="24"/>
          <w:szCs w:val="24"/>
        </w:rPr>
        <w:t>（二)电缆制造要求</w:t>
      </w:r>
    </w:p>
    <w:p>
      <w:pPr>
        <w:snapToGrid w:val="0"/>
        <w:spacing w:line="283" w:lineRule="auto"/>
        <w:rPr>
          <w:rFonts w:ascii="仿宋" w:hAnsi="仿宋" w:eastAsia="仿宋"/>
          <w:b/>
          <w:color w:val="auto"/>
          <w:sz w:val="24"/>
        </w:rPr>
      </w:pPr>
      <w:r>
        <w:rPr>
          <w:rFonts w:hint="eastAsia" w:ascii="仿宋" w:hAnsi="仿宋" w:eastAsia="仿宋"/>
          <w:b/>
          <w:color w:val="auto"/>
          <w:sz w:val="24"/>
        </w:rPr>
        <w:t>1、导体</w:t>
      </w:r>
    </w:p>
    <w:p>
      <w:pPr>
        <w:snapToGrid w:val="0"/>
        <w:spacing w:line="283" w:lineRule="auto"/>
        <w:rPr>
          <w:rFonts w:ascii="仿宋" w:hAnsi="仿宋" w:eastAsia="仿宋"/>
          <w:color w:val="auto"/>
          <w:sz w:val="24"/>
        </w:rPr>
      </w:pPr>
      <w:r>
        <w:rPr>
          <w:rFonts w:hint="eastAsia"/>
          <w:color w:val="auto"/>
        </w:rPr>
        <w:t xml:space="preserve"> </w:t>
      </w:r>
      <w:r>
        <w:rPr>
          <w:rFonts w:hint="eastAsia" w:ascii="仿宋" w:hAnsi="仿宋" w:eastAsia="仿宋"/>
          <w:color w:val="auto"/>
          <w:sz w:val="24"/>
        </w:rPr>
        <w:t>1) 导体采用</w:t>
      </w:r>
      <w:r>
        <w:rPr>
          <w:rFonts w:ascii="仿宋" w:hAnsi="仿宋" w:eastAsia="仿宋"/>
          <w:color w:val="auto"/>
          <w:sz w:val="24"/>
        </w:rPr>
        <w:t>GB/T3956—2008中</w:t>
      </w:r>
      <w:r>
        <w:rPr>
          <w:rFonts w:hint="eastAsia" w:ascii="仿宋" w:hAnsi="仿宋" w:eastAsia="仿宋"/>
          <w:color w:val="auto"/>
          <w:sz w:val="24"/>
        </w:rPr>
        <w:t>第1种或第2种铜导体。</w:t>
      </w:r>
    </w:p>
    <w:p>
      <w:pPr>
        <w:snapToGrid w:val="0"/>
        <w:spacing w:line="283" w:lineRule="auto"/>
        <w:rPr>
          <w:rFonts w:ascii="仿宋" w:hAnsi="仿宋" w:eastAsia="仿宋"/>
          <w:color w:val="auto"/>
          <w:sz w:val="24"/>
        </w:rPr>
      </w:pPr>
      <w:r>
        <w:rPr>
          <w:rFonts w:ascii="仿宋" w:hAnsi="仿宋" w:eastAsia="仿宋"/>
          <w:b/>
          <w:color w:val="auto"/>
          <w:sz w:val="24"/>
        </w:rPr>
        <w:t>★</w:t>
      </w:r>
      <w:r>
        <w:rPr>
          <w:rFonts w:ascii="仿宋" w:hAnsi="仿宋" w:eastAsia="仿宋"/>
          <w:color w:val="auto"/>
          <w:sz w:val="24"/>
        </w:rPr>
        <w:t>2</w:t>
      </w:r>
      <w:r>
        <w:rPr>
          <w:rFonts w:hint="eastAsia" w:ascii="仿宋" w:hAnsi="仿宋" w:eastAsia="仿宋"/>
          <w:color w:val="auto"/>
          <w:sz w:val="24"/>
        </w:rPr>
        <w:t>)导体结构直流电阻</w:t>
      </w:r>
    </w:p>
    <w:p>
      <w:pPr>
        <w:snapToGrid w:val="0"/>
        <w:spacing w:line="283" w:lineRule="auto"/>
        <w:rPr>
          <w:rFonts w:ascii="仿宋" w:hAnsi="仿宋" w:eastAsia="仿宋"/>
          <w:color w:val="auto"/>
          <w:sz w:val="24"/>
        </w:rPr>
      </w:pPr>
      <w:r>
        <w:rPr>
          <w:rFonts w:ascii="仿宋" w:hAnsi="仿宋" w:eastAsia="仿宋"/>
          <w:color w:val="auto"/>
          <w:sz w:val="24"/>
        </w:rPr>
        <w:t>符合GB/T12706.1—2020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r>
        <w:rPr>
          <w:rFonts w:hint="eastAsia" w:ascii="仿宋" w:hAnsi="仿宋" w:eastAsia="仿宋"/>
          <w:color w:val="auto"/>
          <w:sz w:val="24"/>
        </w:rPr>
        <w:t>的规定。</w:t>
      </w:r>
    </w:p>
    <w:p>
      <w:pPr>
        <w:snapToGrid w:val="0"/>
        <w:spacing w:line="283" w:lineRule="auto"/>
        <w:rPr>
          <w:rFonts w:ascii="仿宋" w:hAnsi="仿宋" w:eastAsia="仿宋"/>
          <w:color w:val="auto"/>
          <w:sz w:val="24"/>
        </w:rPr>
      </w:pPr>
      <w:r>
        <w:rPr>
          <w:rFonts w:hint="eastAsia" w:ascii="仿宋" w:hAnsi="仿宋" w:eastAsia="仿宋"/>
          <w:color w:val="auto"/>
          <w:sz w:val="24"/>
        </w:rPr>
        <w:t>（提供单根导线240mm</w:t>
      </w:r>
      <w:r>
        <w:rPr>
          <w:rFonts w:hint="eastAsia" w:ascii="仿宋" w:hAnsi="仿宋" w:eastAsia="仿宋"/>
          <w:color w:val="auto"/>
          <w:sz w:val="24"/>
          <w:vertAlign w:val="superscript"/>
        </w:rPr>
        <w:t>2</w:t>
      </w:r>
      <w:r>
        <w:rPr>
          <w:rFonts w:hint="eastAsia" w:ascii="仿宋" w:hAnsi="仿宋" w:eastAsia="仿宋"/>
          <w:color w:val="auto"/>
          <w:sz w:val="24"/>
        </w:rPr>
        <w:t>或以上的低压电缆相关</w:t>
      </w:r>
      <w:r>
        <w:rPr>
          <w:rFonts w:hint="eastAsia" w:ascii="仿宋" w:hAnsi="仿宋" w:eastAsia="仿宋"/>
          <w:color w:val="auto"/>
          <w:sz w:val="24"/>
          <w:lang w:val="en-US" w:eastAsia="zh-CN"/>
        </w:rPr>
        <w:t>的带CMA标识的</w:t>
      </w:r>
      <w:r>
        <w:rPr>
          <w:rFonts w:hint="eastAsia" w:ascii="仿宋" w:hAnsi="仿宋" w:eastAsia="仿宋"/>
          <w:color w:val="auto"/>
          <w:sz w:val="24"/>
        </w:rPr>
        <w:t>检测报告，原件扫描上传至电子投标文件中。）</w:t>
      </w:r>
    </w:p>
    <w:p>
      <w:pPr>
        <w:snapToGrid w:val="0"/>
        <w:spacing w:line="283" w:lineRule="auto"/>
        <w:rPr>
          <w:rFonts w:ascii="仿宋" w:hAnsi="仿宋" w:eastAsia="仿宋"/>
          <w:color w:val="auto"/>
          <w:sz w:val="24"/>
        </w:rPr>
      </w:pPr>
      <w:r>
        <w:rPr>
          <w:rFonts w:ascii="仿宋" w:hAnsi="仿宋" w:eastAsia="仿宋"/>
          <w:color w:val="auto"/>
          <w:sz w:val="24"/>
        </w:rPr>
        <w:t>3</w:t>
      </w:r>
      <w:r>
        <w:rPr>
          <w:rFonts w:hint="eastAsia" w:ascii="仿宋" w:hAnsi="仿宋" w:eastAsia="仿宋"/>
          <w:color w:val="auto"/>
          <w:sz w:val="24"/>
        </w:rPr>
        <w:t>)导体表面光洁，无损伤绝缘的毛刺，锐边，以及凸起或断裂的单线。</w:t>
      </w:r>
    </w:p>
    <w:p>
      <w:pPr>
        <w:snapToGrid w:val="0"/>
        <w:spacing w:line="283" w:lineRule="auto"/>
        <w:rPr>
          <w:rFonts w:ascii="仿宋" w:hAnsi="仿宋" w:eastAsia="仿宋"/>
          <w:b/>
          <w:color w:val="auto"/>
          <w:sz w:val="24"/>
        </w:rPr>
      </w:pPr>
      <w:r>
        <w:rPr>
          <w:rFonts w:hint="eastAsia" w:ascii="仿宋" w:hAnsi="仿宋" w:eastAsia="仿宋"/>
          <w:b/>
          <w:color w:val="auto"/>
          <w:sz w:val="24"/>
        </w:rPr>
        <w:t>2、绝缘</w:t>
      </w:r>
    </w:p>
    <w:p>
      <w:pPr>
        <w:snapToGrid w:val="0"/>
        <w:spacing w:line="283" w:lineRule="auto"/>
        <w:rPr>
          <w:rFonts w:ascii="仿宋" w:hAnsi="仿宋" w:eastAsia="仿宋"/>
          <w:color w:val="auto"/>
          <w:sz w:val="24"/>
        </w:rPr>
      </w:pPr>
      <w:r>
        <w:rPr>
          <w:rFonts w:hint="eastAsia" w:ascii="仿宋" w:hAnsi="仿宋" w:eastAsia="仿宋"/>
          <w:color w:val="auto"/>
          <w:sz w:val="24"/>
        </w:rPr>
        <w:t>▲1)绝缘材料选用硅烷交联聚乙烯绝缘料（XLPE），绝缘紧密挤包在导体上，且容易剥离而不损伤导体。</w:t>
      </w:r>
    </w:p>
    <w:p>
      <w:pPr>
        <w:snapToGrid w:val="0"/>
        <w:spacing w:line="283" w:lineRule="auto"/>
        <w:rPr>
          <w:rFonts w:ascii="仿宋" w:hAnsi="仿宋" w:eastAsia="仿宋"/>
          <w:color w:val="auto"/>
          <w:sz w:val="24"/>
        </w:rPr>
      </w:pPr>
      <w:r>
        <w:rPr>
          <w:rFonts w:hint="eastAsia" w:ascii="仿宋" w:hAnsi="仿宋" w:eastAsia="仿宋"/>
          <w:color w:val="auto"/>
          <w:sz w:val="24"/>
        </w:rPr>
        <w:t>符合</w:t>
      </w:r>
      <w:r>
        <w:rPr>
          <w:rFonts w:ascii="仿宋" w:hAnsi="仿宋" w:eastAsia="仿宋"/>
          <w:color w:val="auto"/>
          <w:sz w:val="24"/>
        </w:rPr>
        <w:t>GB/T12706.1—2020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r>
        <w:rPr>
          <w:rFonts w:hint="eastAsia" w:ascii="仿宋" w:hAnsi="仿宋" w:eastAsia="仿宋"/>
          <w:color w:val="auto"/>
          <w:sz w:val="24"/>
        </w:rPr>
        <w:t>的规定。</w:t>
      </w:r>
    </w:p>
    <w:p>
      <w:pPr>
        <w:snapToGrid w:val="0"/>
        <w:spacing w:line="283" w:lineRule="auto"/>
        <w:rPr>
          <w:rFonts w:ascii="仿宋" w:hAnsi="仿宋" w:eastAsia="仿宋"/>
          <w:color w:val="auto"/>
          <w:sz w:val="24"/>
        </w:rPr>
      </w:pPr>
      <w:r>
        <w:rPr>
          <w:rFonts w:hint="eastAsia" w:ascii="仿宋" w:hAnsi="仿宋" w:eastAsia="仿宋"/>
          <w:color w:val="auto"/>
          <w:sz w:val="24"/>
        </w:rPr>
        <w:t>（提供单根导线240mm</w:t>
      </w:r>
      <w:r>
        <w:rPr>
          <w:rFonts w:hint="eastAsia" w:ascii="仿宋" w:hAnsi="仿宋" w:eastAsia="仿宋"/>
          <w:color w:val="auto"/>
          <w:sz w:val="24"/>
          <w:vertAlign w:val="superscript"/>
        </w:rPr>
        <w:t>2</w:t>
      </w:r>
      <w:r>
        <w:rPr>
          <w:rFonts w:hint="eastAsia" w:ascii="仿宋" w:hAnsi="仿宋" w:eastAsia="仿宋"/>
          <w:color w:val="auto"/>
          <w:sz w:val="24"/>
        </w:rPr>
        <w:t>或以上的低压电缆相关</w:t>
      </w:r>
      <w:r>
        <w:rPr>
          <w:rFonts w:hint="eastAsia" w:ascii="仿宋" w:hAnsi="仿宋" w:eastAsia="仿宋"/>
          <w:color w:val="auto"/>
          <w:sz w:val="24"/>
          <w:lang w:val="en-US" w:eastAsia="zh-CN"/>
        </w:rPr>
        <w:t>的带CMA标识的</w:t>
      </w:r>
      <w:r>
        <w:rPr>
          <w:rFonts w:hint="eastAsia" w:ascii="仿宋" w:hAnsi="仿宋" w:eastAsia="仿宋"/>
          <w:color w:val="auto"/>
          <w:sz w:val="24"/>
        </w:rPr>
        <w:t>检测报告，原件扫描上传至电子投标文件中。）</w:t>
      </w:r>
    </w:p>
    <w:p>
      <w:pPr>
        <w:snapToGrid w:val="0"/>
        <w:spacing w:line="283" w:lineRule="auto"/>
        <w:rPr>
          <w:rFonts w:ascii="仿宋" w:hAnsi="仿宋" w:eastAsia="仿宋"/>
          <w:color w:val="auto"/>
          <w:sz w:val="24"/>
        </w:rPr>
      </w:pPr>
      <w:r>
        <w:rPr>
          <w:rFonts w:ascii="仿宋" w:hAnsi="仿宋" w:eastAsia="仿宋"/>
          <w:b/>
          <w:color w:val="auto"/>
          <w:sz w:val="24"/>
        </w:rPr>
        <w:t>★</w:t>
      </w:r>
      <w:r>
        <w:rPr>
          <w:rFonts w:hint="eastAsia" w:ascii="仿宋" w:hAnsi="仿宋" w:eastAsia="仿宋"/>
          <w:color w:val="auto"/>
          <w:sz w:val="24"/>
        </w:rPr>
        <w:t>2)绝缘的标称厚度</w:t>
      </w:r>
    </w:p>
    <w:p>
      <w:pPr>
        <w:snapToGrid w:val="0"/>
        <w:spacing w:line="283" w:lineRule="auto"/>
        <w:rPr>
          <w:rFonts w:ascii="仿宋" w:hAnsi="仿宋" w:eastAsia="仿宋"/>
          <w:color w:val="auto"/>
          <w:sz w:val="24"/>
        </w:rPr>
      </w:pPr>
      <w:r>
        <w:rPr>
          <w:rFonts w:hint="eastAsia" w:ascii="仿宋" w:hAnsi="仿宋" w:eastAsia="仿宋"/>
          <w:color w:val="auto"/>
          <w:sz w:val="24"/>
        </w:rPr>
        <w:t>符合GB/T12706.1—2020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r>
        <w:rPr>
          <w:rFonts w:hint="eastAsia" w:ascii="仿宋" w:hAnsi="仿宋" w:eastAsia="仿宋"/>
          <w:color w:val="auto"/>
          <w:sz w:val="24"/>
        </w:rPr>
        <w:t>的规定，绝缘厚度平均值不小于规定的标称值，绝缘最薄点的厚度不小于标称值的90%-0.1mm。</w:t>
      </w:r>
    </w:p>
    <w:p>
      <w:pPr>
        <w:snapToGrid w:val="0"/>
        <w:spacing w:line="283" w:lineRule="auto"/>
        <w:rPr>
          <w:rFonts w:ascii="仿宋" w:hAnsi="仿宋" w:eastAsia="仿宋"/>
          <w:color w:val="auto"/>
          <w:sz w:val="24"/>
        </w:rPr>
      </w:pPr>
      <w:r>
        <w:rPr>
          <w:rFonts w:hint="eastAsia" w:ascii="仿宋" w:hAnsi="仿宋" w:eastAsia="仿宋"/>
          <w:color w:val="auto"/>
          <w:sz w:val="24"/>
        </w:rPr>
        <w:t>（提供单根导线240mm</w:t>
      </w:r>
      <w:r>
        <w:rPr>
          <w:rFonts w:hint="eastAsia" w:ascii="仿宋" w:hAnsi="仿宋" w:eastAsia="仿宋"/>
          <w:color w:val="auto"/>
          <w:sz w:val="24"/>
          <w:vertAlign w:val="superscript"/>
        </w:rPr>
        <w:t>2</w:t>
      </w:r>
      <w:r>
        <w:rPr>
          <w:rFonts w:hint="eastAsia" w:ascii="仿宋" w:hAnsi="仿宋" w:eastAsia="仿宋"/>
          <w:color w:val="auto"/>
          <w:sz w:val="24"/>
        </w:rPr>
        <w:t>或以上的低压电缆相关</w:t>
      </w:r>
      <w:r>
        <w:rPr>
          <w:rFonts w:hint="eastAsia" w:ascii="仿宋" w:hAnsi="仿宋" w:eastAsia="仿宋"/>
          <w:color w:val="auto"/>
          <w:sz w:val="24"/>
          <w:lang w:val="en-US" w:eastAsia="zh-CN"/>
        </w:rPr>
        <w:t>的带CMA标识的</w:t>
      </w:r>
      <w:r>
        <w:rPr>
          <w:rFonts w:hint="eastAsia" w:ascii="仿宋" w:hAnsi="仿宋" w:eastAsia="仿宋"/>
          <w:color w:val="auto"/>
          <w:sz w:val="24"/>
        </w:rPr>
        <w:t>检测报告，原件扫描上传至电子投标文件中。）</w:t>
      </w:r>
    </w:p>
    <w:p>
      <w:pPr>
        <w:snapToGrid w:val="0"/>
        <w:spacing w:line="283" w:lineRule="auto"/>
        <w:rPr>
          <w:rFonts w:ascii="仿宋" w:hAnsi="仿宋" w:eastAsia="仿宋"/>
          <w:color w:val="auto"/>
          <w:sz w:val="24"/>
        </w:rPr>
      </w:pPr>
      <w:r>
        <w:rPr>
          <w:rFonts w:hint="eastAsia" w:ascii="仿宋" w:hAnsi="仿宋" w:eastAsia="仿宋"/>
          <w:color w:val="auto"/>
          <w:sz w:val="24"/>
        </w:rPr>
        <w:t>▲3)绝缘层的横断面上无目力可见的气泡和砂眼等缺陷。</w:t>
      </w:r>
    </w:p>
    <w:p>
      <w:pPr>
        <w:snapToGrid w:val="0"/>
        <w:spacing w:line="283" w:lineRule="auto"/>
        <w:rPr>
          <w:rFonts w:ascii="仿宋" w:hAnsi="仿宋" w:eastAsia="仿宋"/>
          <w:color w:val="auto"/>
          <w:sz w:val="24"/>
        </w:rPr>
      </w:pPr>
      <w:r>
        <w:rPr>
          <w:rFonts w:hint="eastAsia" w:ascii="仿宋" w:hAnsi="仿宋" w:eastAsia="仿宋"/>
          <w:color w:val="auto"/>
          <w:sz w:val="24"/>
        </w:rPr>
        <w:t>符合</w:t>
      </w:r>
      <w:r>
        <w:rPr>
          <w:rFonts w:ascii="仿宋" w:hAnsi="仿宋" w:eastAsia="仿宋"/>
          <w:color w:val="auto"/>
          <w:sz w:val="24"/>
        </w:rPr>
        <w:t>GB/T12706.1—2020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r>
        <w:rPr>
          <w:rFonts w:hint="eastAsia" w:ascii="仿宋" w:hAnsi="仿宋" w:eastAsia="仿宋"/>
          <w:color w:val="auto"/>
          <w:sz w:val="24"/>
        </w:rPr>
        <w:t>的规定。</w:t>
      </w:r>
    </w:p>
    <w:p>
      <w:pPr>
        <w:snapToGrid w:val="0"/>
        <w:spacing w:line="283" w:lineRule="auto"/>
        <w:rPr>
          <w:rFonts w:ascii="仿宋" w:hAnsi="仿宋" w:eastAsia="仿宋"/>
          <w:color w:val="auto"/>
          <w:sz w:val="24"/>
        </w:rPr>
      </w:pPr>
      <w:r>
        <w:rPr>
          <w:rFonts w:hint="eastAsia" w:ascii="仿宋" w:hAnsi="仿宋" w:eastAsia="仿宋"/>
          <w:color w:val="auto"/>
          <w:sz w:val="24"/>
        </w:rPr>
        <w:t>（提供单根导线240mm</w:t>
      </w:r>
      <w:r>
        <w:rPr>
          <w:rFonts w:hint="eastAsia" w:ascii="仿宋" w:hAnsi="仿宋" w:eastAsia="仿宋"/>
          <w:color w:val="auto"/>
          <w:sz w:val="24"/>
          <w:vertAlign w:val="superscript"/>
        </w:rPr>
        <w:t>2</w:t>
      </w:r>
      <w:r>
        <w:rPr>
          <w:rFonts w:hint="eastAsia" w:ascii="仿宋" w:hAnsi="仿宋" w:eastAsia="仿宋"/>
          <w:color w:val="auto"/>
          <w:sz w:val="24"/>
        </w:rPr>
        <w:t>或以上的低压电缆相关</w:t>
      </w:r>
      <w:r>
        <w:rPr>
          <w:rFonts w:hint="eastAsia" w:ascii="仿宋" w:hAnsi="仿宋" w:eastAsia="仿宋"/>
          <w:color w:val="auto"/>
          <w:sz w:val="24"/>
          <w:lang w:val="en-US" w:eastAsia="zh-CN"/>
        </w:rPr>
        <w:t>的带CMA标识的</w:t>
      </w:r>
      <w:r>
        <w:rPr>
          <w:rFonts w:hint="eastAsia" w:ascii="仿宋" w:hAnsi="仿宋" w:eastAsia="仿宋"/>
          <w:color w:val="auto"/>
          <w:sz w:val="24"/>
        </w:rPr>
        <w:t>检测报告，原件扫描上传至电子投标文件中。）</w:t>
      </w:r>
    </w:p>
    <w:p>
      <w:pPr>
        <w:snapToGrid w:val="0"/>
        <w:spacing w:line="283" w:lineRule="auto"/>
        <w:rPr>
          <w:rFonts w:ascii="仿宋" w:hAnsi="仿宋" w:eastAsia="仿宋"/>
          <w:color w:val="auto"/>
          <w:sz w:val="24"/>
        </w:rPr>
      </w:pPr>
      <w:r>
        <w:rPr>
          <w:rFonts w:ascii="仿宋" w:hAnsi="仿宋" w:eastAsia="仿宋"/>
          <w:b/>
          <w:color w:val="auto"/>
          <w:sz w:val="24"/>
        </w:rPr>
        <w:t>★</w:t>
      </w:r>
      <w:r>
        <w:rPr>
          <w:rFonts w:hint="eastAsia" w:ascii="仿宋" w:hAnsi="仿宋" w:eastAsia="仿宋"/>
          <w:color w:val="auto"/>
          <w:sz w:val="24"/>
        </w:rPr>
        <w:t>4)电线电缆的识别标志</w:t>
      </w:r>
    </w:p>
    <w:p>
      <w:pPr>
        <w:snapToGrid w:val="0"/>
        <w:spacing w:line="283" w:lineRule="auto"/>
        <w:rPr>
          <w:rFonts w:ascii="仿宋" w:hAnsi="仿宋" w:eastAsia="仿宋"/>
          <w:color w:val="auto"/>
          <w:sz w:val="24"/>
        </w:rPr>
      </w:pPr>
      <w:r>
        <w:rPr>
          <w:rFonts w:hint="eastAsia" w:ascii="仿宋" w:hAnsi="仿宋" w:eastAsia="仿宋"/>
          <w:color w:val="auto"/>
          <w:sz w:val="24"/>
        </w:rPr>
        <w:t>符合</w:t>
      </w:r>
      <w:r>
        <w:rPr>
          <w:rFonts w:ascii="仿宋" w:hAnsi="仿宋" w:eastAsia="仿宋"/>
          <w:color w:val="auto"/>
          <w:sz w:val="24"/>
        </w:rPr>
        <w:t>GB/T12706.1—2020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r>
        <w:rPr>
          <w:rFonts w:hint="eastAsia" w:ascii="仿宋" w:hAnsi="仿宋" w:eastAsia="仿宋"/>
          <w:color w:val="auto"/>
          <w:sz w:val="24"/>
        </w:rPr>
        <w:t>的规定。</w:t>
      </w:r>
    </w:p>
    <w:p>
      <w:pPr>
        <w:snapToGrid w:val="0"/>
        <w:spacing w:line="283" w:lineRule="auto"/>
        <w:rPr>
          <w:rFonts w:ascii="仿宋" w:hAnsi="仿宋" w:eastAsia="仿宋"/>
          <w:color w:val="auto"/>
          <w:sz w:val="24"/>
        </w:rPr>
      </w:pPr>
      <w:r>
        <w:rPr>
          <w:rFonts w:hint="eastAsia" w:ascii="仿宋" w:hAnsi="仿宋" w:eastAsia="仿宋"/>
          <w:color w:val="auto"/>
          <w:sz w:val="24"/>
        </w:rPr>
        <w:t>（提供单根导线240mm</w:t>
      </w:r>
      <w:r>
        <w:rPr>
          <w:rFonts w:hint="eastAsia" w:ascii="仿宋" w:hAnsi="仿宋" w:eastAsia="仿宋"/>
          <w:color w:val="auto"/>
          <w:sz w:val="24"/>
          <w:vertAlign w:val="superscript"/>
        </w:rPr>
        <w:t>2</w:t>
      </w:r>
      <w:r>
        <w:rPr>
          <w:rFonts w:hint="eastAsia" w:ascii="仿宋" w:hAnsi="仿宋" w:eastAsia="仿宋"/>
          <w:color w:val="auto"/>
          <w:sz w:val="24"/>
        </w:rPr>
        <w:t>或以上的低压电缆相关</w:t>
      </w:r>
      <w:r>
        <w:rPr>
          <w:rFonts w:hint="eastAsia" w:ascii="仿宋" w:hAnsi="仿宋" w:eastAsia="仿宋"/>
          <w:color w:val="auto"/>
          <w:sz w:val="24"/>
          <w:lang w:val="en-US" w:eastAsia="zh-CN"/>
        </w:rPr>
        <w:t>的带CMA标识的</w:t>
      </w:r>
      <w:r>
        <w:rPr>
          <w:rFonts w:hint="eastAsia" w:ascii="仿宋" w:hAnsi="仿宋" w:eastAsia="仿宋"/>
          <w:color w:val="auto"/>
          <w:sz w:val="24"/>
        </w:rPr>
        <w:t>检测报告，原件扫描上传至电子投标文件中。）</w:t>
      </w:r>
    </w:p>
    <w:p>
      <w:pPr>
        <w:snapToGrid w:val="0"/>
        <w:spacing w:line="283" w:lineRule="auto"/>
        <w:rPr>
          <w:rFonts w:ascii="仿宋" w:hAnsi="仿宋" w:eastAsia="仿宋"/>
          <w:color w:val="auto"/>
          <w:sz w:val="24"/>
        </w:rPr>
      </w:pPr>
      <w:r>
        <w:rPr>
          <w:rFonts w:hint="eastAsia" w:ascii="仿宋" w:hAnsi="仿宋" w:eastAsia="仿宋"/>
          <w:b/>
          <w:color w:val="auto"/>
          <w:sz w:val="24"/>
        </w:rPr>
        <w:t>▲3、缆芯及填充物</w:t>
      </w:r>
      <w:r>
        <w:rPr>
          <w:rFonts w:hint="eastAsia" w:ascii="仿宋" w:hAnsi="仿宋" w:eastAsia="仿宋"/>
          <w:color w:val="auto"/>
          <w:sz w:val="24"/>
        </w:rPr>
        <w:t>：电缆线芯成缆后线芯间的间隙用非吸湿性柔软材料填充，缆芯以非吸湿性扎带扎紧。</w:t>
      </w:r>
    </w:p>
    <w:p>
      <w:pPr>
        <w:snapToGrid w:val="0"/>
        <w:spacing w:line="283" w:lineRule="auto"/>
        <w:rPr>
          <w:rFonts w:ascii="仿宋" w:hAnsi="仿宋" w:eastAsia="仿宋"/>
          <w:color w:val="auto"/>
          <w:sz w:val="24"/>
        </w:rPr>
      </w:pPr>
      <w:r>
        <w:rPr>
          <w:rFonts w:hint="eastAsia" w:ascii="仿宋" w:hAnsi="仿宋" w:eastAsia="仿宋"/>
          <w:color w:val="auto"/>
          <w:sz w:val="24"/>
        </w:rPr>
        <w:t>符合</w:t>
      </w:r>
      <w:r>
        <w:rPr>
          <w:rFonts w:ascii="仿宋" w:hAnsi="仿宋" w:eastAsia="仿宋"/>
          <w:color w:val="auto"/>
          <w:sz w:val="24"/>
        </w:rPr>
        <w:t>GB/T12706.1—2020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r>
        <w:rPr>
          <w:rFonts w:hint="eastAsia" w:ascii="仿宋" w:hAnsi="仿宋" w:eastAsia="仿宋"/>
          <w:color w:val="auto"/>
          <w:sz w:val="24"/>
        </w:rPr>
        <w:t>的规定。</w:t>
      </w:r>
    </w:p>
    <w:p>
      <w:pPr>
        <w:pStyle w:val="2"/>
        <w:rPr>
          <w:color w:val="auto"/>
        </w:rPr>
      </w:pPr>
      <w:r>
        <w:rPr>
          <w:rFonts w:hint="eastAsia" w:ascii="仿宋" w:hAnsi="仿宋" w:eastAsia="仿宋"/>
          <w:color w:val="auto"/>
          <w:sz w:val="24"/>
        </w:rPr>
        <w:t>（提供加盖投标人公章的承诺书，原件扫描上传至电子投标文件中）</w:t>
      </w:r>
    </w:p>
    <w:p>
      <w:pPr>
        <w:snapToGrid w:val="0"/>
        <w:spacing w:line="283" w:lineRule="auto"/>
        <w:rPr>
          <w:rFonts w:ascii="仿宋" w:hAnsi="仿宋" w:eastAsia="仿宋"/>
          <w:b/>
          <w:color w:val="auto"/>
          <w:sz w:val="24"/>
        </w:rPr>
      </w:pPr>
      <w:r>
        <w:rPr>
          <w:rFonts w:hint="eastAsia" w:ascii="仿宋" w:hAnsi="仿宋" w:eastAsia="仿宋"/>
          <w:b/>
          <w:color w:val="auto"/>
          <w:sz w:val="24"/>
        </w:rPr>
        <w:t>4、电缆外护套</w:t>
      </w:r>
    </w:p>
    <w:p>
      <w:pPr>
        <w:snapToGrid w:val="0"/>
        <w:spacing w:line="283" w:lineRule="auto"/>
        <w:rPr>
          <w:rFonts w:ascii="仿宋" w:hAnsi="仿宋" w:eastAsia="仿宋"/>
          <w:color w:val="auto"/>
          <w:sz w:val="24"/>
        </w:rPr>
      </w:pPr>
      <w:r>
        <w:rPr>
          <w:rFonts w:hint="eastAsia" w:ascii="仿宋" w:hAnsi="仿宋" w:eastAsia="仿宋"/>
          <w:color w:val="auto"/>
          <w:sz w:val="24"/>
        </w:rPr>
        <w:t>▲1)电缆的护套材料采用低烟无卤聚烯烃材料，电缆的护套均匀地挤包在非铠装电缆的缆芯的包覆层上及铠装电缆的铠装层上，护套表面平整、色泽均匀。</w:t>
      </w:r>
    </w:p>
    <w:p>
      <w:pPr>
        <w:pStyle w:val="2"/>
        <w:rPr>
          <w:color w:val="auto"/>
        </w:rPr>
      </w:pPr>
      <w:r>
        <w:rPr>
          <w:rFonts w:hint="eastAsia" w:ascii="仿宋" w:hAnsi="仿宋" w:eastAsia="仿宋"/>
          <w:color w:val="auto"/>
          <w:sz w:val="24"/>
        </w:rPr>
        <w:t>（提供加盖投标人公章的承诺书，原件扫描上传至电子投标文件中）</w:t>
      </w:r>
    </w:p>
    <w:p>
      <w:pPr>
        <w:snapToGrid w:val="0"/>
        <w:spacing w:line="283" w:lineRule="auto"/>
        <w:rPr>
          <w:rFonts w:ascii="仿宋" w:hAnsi="仿宋" w:eastAsia="仿宋"/>
          <w:color w:val="auto"/>
          <w:sz w:val="24"/>
        </w:rPr>
      </w:pPr>
      <w:r>
        <w:rPr>
          <w:rFonts w:ascii="仿宋" w:hAnsi="仿宋" w:eastAsia="仿宋"/>
          <w:b/>
          <w:color w:val="auto"/>
          <w:sz w:val="24"/>
        </w:rPr>
        <w:t>★</w:t>
      </w:r>
      <w:r>
        <w:rPr>
          <w:rFonts w:hint="eastAsia" w:ascii="仿宋" w:hAnsi="仿宋" w:eastAsia="仿宋"/>
          <w:color w:val="auto"/>
          <w:sz w:val="24"/>
        </w:rPr>
        <w:t>2)护套厚度。</w:t>
      </w:r>
    </w:p>
    <w:p>
      <w:pPr>
        <w:snapToGrid w:val="0"/>
        <w:spacing w:line="283" w:lineRule="auto"/>
        <w:rPr>
          <w:rFonts w:ascii="仿宋" w:hAnsi="仿宋" w:eastAsia="仿宋"/>
          <w:color w:val="auto"/>
          <w:sz w:val="24"/>
        </w:rPr>
      </w:pPr>
      <w:r>
        <w:rPr>
          <w:rFonts w:hint="eastAsia" w:ascii="仿宋" w:hAnsi="仿宋" w:eastAsia="仿宋"/>
          <w:color w:val="auto"/>
          <w:sz w:val="24"/>
        </w:rPr>
        <w:t>符合GB/T12706.1—2020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r>
        <w:rPr>
          <w:rFonts w:hint="eastAsia" w:ascii="仿宋" w:hAnsi="仿宋" w:eastAsia="仿宋"/>
          <w:color w:val="auto"/>
          <w:sz w:val="24"/>
        </w:rPr>
        <w:t>的规定，电缆护套上任一处最小厚度不小于标称值的80%-0.2mm。</w:t>
      </w:r>
    </w:p>
    <w:p>
      <w:pPr>
        <w:pStyle w:val="2"/>
        <w:rPr>
          <w:color w:val="auto"/>
        </w:rPr>
      </w:pPr>
      <w:r>
        <w:rPr>
          <w:rFonts w:hint="eastAsia" w:ascii="仿宋" w:hAnsi="仿宋" w:eastAsia="仿宋"/>
          <w:color w:val="auto"/>
          <w:sz w:val="24"/>
        </w:rPr>
        <w:t>（提供加盖投标人公章的承诺书，原件扫描上传至电子投标文件中）</w:t>
      </w:r>
    </w:p>
    <w:p>
      <w:pPr>
        <w:snapToGrid w:val="0"/>
        <w:spacing w:line="283" w:lineRule="auto"/>
        <w:rPr>
          <w:rFonts w:ascii="仿宋" w:hAnsi="仿宋" w:eastAsia="仿宋"/>
          <w:b/>
          <w:color w:val="auto"/>
          <w:sz w:val="24"/>
        </w:rPr>
      </w:pPr>
      <w:r>
        <w:rPr>
          <w:rFonts w:hint="eastAsia" w:ascii="仿宋" w:hAnsi="仿宋" w:eastAsia="仿宋"/>
          <w:b/>
          <w:color w:val="auto"/>
          <w:sz w:val="24"/>
        </w:rPr>
        <w:t>5、成品电缆要求</w:t>
      </w:r>
    </w:p>
    <w:p>
      <w:pPr>
        <w:snapToGrid w:val="0"/>
        <w:spacing w:line="283" w:lineRule="auto"/>
        <w:rPr>
          <w:rFonts w:ascii="仿宋" w:hAnsi="仿宋" w:eastAsia="仿宋"/>
          <w:color w:val="auto"/>
          <w:sz w:val="24"/>
        </w:rPr>
      </w:pPr>
      <w:r>
        <w:rPr>
          <w:rFonts w:ascii="仿宋" w:hAnsi="仿宋" w:eastAsia="仿宋"/>
          <w:color w:val="auto"/>
          <w:sz w:val="24"/>
        </w:rPr>
        <w:t>1</w:t>
      </w:r>
      <w:r>
        <w:rPr>
          <w:rFonts w:hint="eastAsia" w:ascii="仿宋" w:hAnsi="仿宋" w:eastAsia="仿宋"/>
          <w:color w:val="auto"/>
          <w:sz w:val="24"/>
        </w:rPr>
        <w:t>)成品电缆经3500V/5min交流电压试验不击穿。</w:t>
      </w:r>
    </w:p>
    <w:p>
      <w:pPr>
        <w:snapToGrid w:val="0"/>
        <w:spacing w:line="283" w:lineRule="auto"/>
        <w:rPr>
          <w:rFonts w:ascii="仿宋" w:hAnsi="仿宋" w:eastAsia="仿宋"/>
          <w:color w:val="auto"/>
          <w:sz w:val="24"/>
        </w:rPr>
      </w:pPr>
      <w:r>
        <w:rPr>
          <w:rFonts w:ascii="仿宋" w:hAnsi="仿宋" w:eastAsia="仿宋"/>
          <w:b/>
          <w:color w:val="auto"/>
          <w:sz w:val="24"/>
        </w:rPr>
        <w:t>★</w:t>
      </w:r>
      <w:r>
        <w:rPr>
          <w:rFonts w:ascii="仿宋" w:hAnsi="仿宋" w:eastAsia="仿宋"/>
          <w:color w:val="auto"/>
          <w:sz w:val="24"/>
        </w:rPr>
        <w:t>2</w:t>
      </w:r>
      <w:r>
        <w:rPr>
          <w:rFonts w:hint="eastAsia" w:ascii="仿宋" w:hAnsi="仿宋" w:eastAsia="仿宋"/>
          <w:color w:val="auto"/>
          <w:sz w:val="24"/>
        </w:rPr>
        <w:t>)成品电缆绝缘及护套的机械性能等性能指标</w:t>
      </w:r>
    </w:p>
    <w:p>
      <w:pPr>
        <w:snapToGrid w:val="0"/>
        <w:spacing w:line="283" w:lineRule="auto"/>
        <w:rPr>
          <w:rFonts w:ascii="仿宋" w:hAnsi="仿宋" w:eastAsia="仿宋"/>
          <w:color w:val="auto"/>
          <w:sz w:val="24"/>
        </w:rPr>
      </w:pPr>
      <w:r>
        <w:rPr>
          <w:rFonts w:hint="eastAsia" w:ascii="仿宋" w:hAnsi="仿宋" w:eastAsia="仿宋"/>
          <w:color w:val="auto"/>
          <w:sz w:val="24"/>
        </w:rPr>
        <w:t>符合</w:t>
      </w:r>
      <w:r>
        <w:rPr>
          <w:rFonts w:ascii="仿宋" w:hAnsi="仿宋" w:eastAsia="仿宋"/>
          <w:color w:val="auto"/>
          <w:sz w:val="24"/>
        </w:rPr>
        <w:t>GB/T12706.1—2020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r>
        <w:rPr>
          <w:rFonts w:ascii="仿宋" w:hAnsi="仿宋" w:eastAsia="仿宋"/>
          <w:color w:val="auto"/>
          <w:sz w:val="24"/>
        </w:rPr>
        <w:t>的规定</w:t>
      </w:r>
      <w:r>
        <w:rPr>
          <w:rFonts w:hint="eastAsia" w:ascii="仿宋" w:hAnsi="仿宋" w:eastAsia="仿宋"/>
          <w:color w:val="auto"/>
          <w:sz w:val="24"/>
        </w:rPr>
        <w:t>。</w:t>
      </w:r>
    </w:p>
    <w:p>
      <w:pPr>
        <w:snapToGrid w:val="0"/>
        <w:spacing w:line="283" w:lineRule="auto"/>
        <w:rPr>
          <w:rFonts w:ascii="仿宋" w:hAnsi="仿宋" w:eastAsia="仿宋"/>
          <w:color w:val="auto"/>
          <w:sz w:val="24"/>
        </w:rPr>
      </w:pPr>
      <w:r>
        <w:rPr>
          <w:rFonts w:hint="eastAsia" w:ascii="仿宋" w:hAnsi="仿宋" w:eastAsia="仿宋"/>
          <w:color w:val="auto"/>
          <w:sz w:val="24"/>
        </w:rPr>
        <w:t>（提供单根导线240mm</w:t>
      </w:r>
      <w:r>
        <w:rPr>
          <w:rFonts w:hint="eastAsia" w:ascii="仿宋" w:hAnsi="仿宋" w:eastAsia="仿宋"/>
          <w:color w:val="auto"/>
          <w:sz w:val="24"/>
          <w:vertAlign w:val="superscript"/>
        </w:rPr>
        <w:t>2</w:t>
      </w:r>
      <w:r>
        <w:rPr>
          <w:rFonts w:hint="eastAsia" w:ascii="仿宋" w:hAnsi="仿宋" w:eastAsia="仿宋"/>
          <w:color w:val="auto"/>
          <w:sz w:val="24"/>
        </w:rPr>
        <w:t>或以上的低压电缆相关</w:t>
      </w:r>
      <w:r>
        <w:rPr>
          <w:rFonts w:hint="eastAsia" w:ascii="仿宋" w:hAnsi="仿宋" w:eastAsia="仿宋"/>
          <w:color w:val="auto"/>
          <w:sz w:val="24"/>
          <w:lang w:val="en-US" w:eastAsia="zh-CN"/>
        </w:rPr>
        <w:t>的带CMA标识的</w:t>
      </w:r>
      <w:r>
        <w:rPr>
          <w:rFonts w:hint="eastAsia" w:ascii="仿宋" w:hAnsi="仿宋" w:eastAsia="仿宋"/>
          <w:color w:val="auto"/>
          <w:sz w:val="24"/>
        </w:rPr>
        <w:t>检测报告，原件扫描上传至电子投标文件中。）</w:t>
      </w:r>
    </w:p>
    <w:p>
      <w:pPr>
        <w:snapToGrid w:val="0"/>
        <w:spacing w:line="283" w:lineRule="auto"/>
        <w:rPr>
          <w:rFonts w:ascii="仿宋" w:hAnsi="仿宋" w:eastAsia="仿宋"/>
          <w:color w:val="auto"/>
          <w:sz w:val="24"/>
        </w:rPr>
      </w:pPr>
      <w:r>
        <w:rPr>
          <w:rFonts w:ascii="仿宋" w:hAnsi="仿宋" w:eastAsia="仿宋"/>
          <w:b/>
          <w:color w:val="auto"/>
          <w:sz w:val="24"/>
        </w:rPr>
        <w:t>★</w:t>
      </w:r>
      <w:r>
        <w:rPr>
          <w:rFonts w:ascii="仿宋" w:hAnsi="仿宋" w:eastAsia="仿宋"/>
          <w:color w:val="auto"/>
          <w:sz w:val="24"/>
        </w:rPr>
        <w:t>3</w:t>
      </w:r>
      <w:r>
        <w:rPr>
          <w:rFonts w:hint="eastAsia" w:ascii="仿宋" w:hAnsi="仿宋" w:eastAsia="仿宋"/>
          <w:color w:val="auto"/>
          <w:sz w:val="24"/>
        </w:rPr>
        <w:t>)所有电缆都能通过单根垂直燃烧试验。</w:t>
      </w:r>
    </w:p>
    <w:p>
      <w:pPr>
        <w:snapToGrid w:val="0"/>
        <w:spacing w:line="283" w:lineRule="auto"/>
        <w:rPr>
          <w:rFonts w:ascii="仿宋" w:hAnsi="仿宋" w:eastAsia="仿宋"/>
          <w:color w:val="auto"/>
          <w:sz w:val="24"/>
        </w:rPr>
      </w:pPr>
      <w:r>
        <w:rPr>
          <w:rFonts w:hint="eastAsia" w:ascii="仿宋" w:hAnsi="仿宋" w:eastAsia="仿宋"/>
          <w:color w:val="auto"/>
          <w:sz w:val="24"/>
        </w:rPr>
        <w:t>符合</w:t>
      </w:r>
      <w:r>
        <w:rPr>
          <w:rFonts w:ascii="仿宋" w:hAnsi="仿宋" w:eastAsia="仿宋"/>
          <w:color w:val="auto"/>
          <w:sz w:val="24"/>
        </w:rPr>
        <w:t>GB/T12706.1—2020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r>
        <w:rPr>
          <w:rFonts w:ascii="仿宋" w:hAnsi="仿宋" w:eastAsia="仿宋"/>
          <w:color w:val="auto"/>
          <w:sz w:val="24"/>
        </w:rPr>
        <w:t>的规定、</w:t>
      </w:r>
    </w:p>
    <w:p>
      <w:pPr>
        <w:snapToGrid w:val="0"/>
        <w:spacing w:line="283" w:lineRule="auto"/>
        <w:rPr>
          <w:rFonts w:ascii="仿宋" w:hAnsi="仿宋" w:eastAsia="仿宋"/>
          <w:color w:val="auto"/>
          <w:sz w:val="24"/>
        </w:rPr>
      </w:pPr>
      <w:r>
        <w:rPr>
          <w:rFonts w:hint="eastAsia" w:ascii="仿宋" w:hAnsi="仿宋" w:eastAsia="仿宋"/>
          <w:color w:val="auto"/>
          <w:sz w:val="24"/>
        </w:rPr>
        <w:t>（提供单根导线240mm</w:t>
      </w:r>
      <w:r>
        <w:rPr>
          <w:rFonts w:hint="eastAsia" w:ascii="仿宋" w:hAnsi="仿宋" w:eastAsia="仿宋"/>
          <w:color w:val="auto"/>
          <w:sz w:val="24"/>
          <w:vertAlign w:val="superscript"/>
        </w:rPr>
        <w:t>2</w:t>
      </w:r>
      <w:r>
        <w:rPr>
          <w:rFonts w:hint="eastAsia" w:ascii="仿宋" w:hAnsi="仿宋" w:eastAsia="仿宋"/>
          <w:color w:val="auto"/>
          <w:sz w:val="24"/>
        </w:rPr>
        <w:t>或以上的低压电缆相关</w:t>
      </w:r>
      <w:r>
        <w:rPr>
          <w:rFonts w:hint="eastAsia" w:ascii="仿宋" w:hAnsi="仿宋" w:eastAsia="仿宋"/>
          <w:color w:val="auto"/>
          <w:sz w:val="24"/>
          <w:lang w:val="en-US" w:eastAsia="zh-CN"/>
        </w:rPr>
        <w:t>的带CMA标识的</w:t>
      </w:r>
      <w:r>
        <w:rPr>
          <w:rFonts w:hint="eastAsia" w:ascii="仿宋" w:hAnsi="仿宋" w:eastAsia="仿宋"/>
          <w:color w:val="auto"/>
          <w:sz w:val="24"/>
        </w:rPr>
        <w:t>检测报告，原件扫描上传至电子投标文件中。）</w:t>
      </w:r>
    </w:p>
    <w:p>
      <w:pPr>
        <w:snapToGrid w:val="0"/>
        <w:spacing w:line="283" w:lineRule="auto"/>
        <w:rPr>
          <w:rFonts w:ascii="仿宋" w:hAnsi="仿宋" w:eastAsia="仿宋"/>
          <w:color w:val="auto"/>
          <w:sz w:val="24"/>
        </w:rPr>
      </w:pPr>
      <w:r>
        <w:rPr>
          <w:rFonts w:ascii="仿宋" w:hAnsi="仿宋" w:eastAsia="仿宋"/>
          <w:b/>
          <w:color w:val="auto"/>
          <w:sz w:val="24"/>
        </w:rPr>
        <w:t>★</w:t>
      </w:r>
      <w:r>
        <w:rPr>
          <w:rFonts w:ascii="仿宋" w:hAnsi="仿宋" w:eastAsia="仿宋"/>
          <w:color w:val="auto"/>
          <w:sz w:val="24"/>
        </w:rPr>
        <w:t>4</w:t>
      </w:r>
      <w:r>
        <w:rPr>
          <w:rFonts w:hint="eastAsia" w:ascii="仿宋" w:hAnsi="仿宋" w:eastAsia="仿宋"/>
          <w:color w:val="auto"/>
          <w:sz w:val="24"/>
        </w:rPr>
        <w:t>）成品电缆外护套表面连续印有电缆型号、电压、厂名和长度等标志。标志字迹清楚，容易辨认，耐擦。</w:t>
      </w:r>
    </w:p>
    <w:p>
      <w:pPr>
        <w:snapToGrid w:val="0"/>
        <w:spacing w:line="283" w:lineRule="auto"/>
        <w:rPr>
          <w:rFonts w:ascii="仿宋" w:hAnsi="仿宋" w:eastAsia="仿宋"/>
          <w:color w:val="auto"/>
          <w:sz w:val="24"/>
        </w:rPr>
      </w:pPr>
      <w:r>
        <w:rPr>
          <w:rFonts w:hint="eastAsia" w:ascii="仿宋" w:hAnsi="仿宋" w:eastAsia="仿宋"/>
          <w:color w:val="auto"/>
          <w:sz w:val="24"/>
        </w:rPr>
        <w:t>符合</w:t>
      </w:r>
      <w:r>
        <w:rPr>
          <w:rFonts w:ascii="仿宋" w:hAnsi="仿宋" w:eastAsia="仿宋"/>
          <w:color w:val="auto"/>
          <w:sz w:val="24"/>
        </w:rPr>
        <w:t>GB/T12706.1—2020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r>
        <w:rPr>
          <w:rFonts w:ascii="仿宋" w:hAnsi="仿宋" w:eastAsia="仿宋"/>
          <w:color w:val="auto"/>
          <w:sz w:val="24"/>
        </w:rPr>
        <w:t>的规定、</w:t>
      </w:r>
    </w:p>
    <w:p>
      <w:pPr>
        <w:snapToGrid w:val="0"/>
        <w:spacing w:line="283" w:lineRule="auto"/>
        <w:rPr>
          <w:rFonts w:ascii="仿宋" w:hAnsi="仿宋" w:eastAsia="仿宋"/>
          <w:color w:val="auto"/>
          <w:sz w:val="24"/>
        </w:rPr>
      </w:pPr>
      <w:r>
        <w:rPr>
          <w:rFonts w:hint="eastAsia" w:ascii="仿宋" w:hAnsi="仿宋" w:eastAsia="仿宋"/>
          <w:color w:val="auto"/>
          <w:sz w:val="24"/>
        </w:rPr>
        <w:t>（提供加盖投标人公章的承诺书，原件扫描上传至电子投标文件中）</w:t>
      </w:r>
    </w:p>
    <w:p>
      <w:pPr>
        <w:snapToGrid w:val="0"/>
        <w:spacing w:line="283" w:lineRule="auto"/>
        <w:rPr>
          <w:rFonts w:ascii="仿宋" w:hAnsi="仿宋" w:eastAsia="仿宋"/>
          <w:b/>
          <w:color w:val="auto"/>
          <w:sz w:val="24"/>
        </w:rPr>
      </w:pPr>
      <w:r>
        <w:rPr>
          <w:rFonts w:ascii="仿宋" w:hAnsi="仿宋" w:eastAsia="仿宋"/>
          <w:b/>
          <w:color w:val="auto"/>
          <w:sz w:val="24"/>
        </w:rPr>
        <w:t>★</w:t>
      </w:r>
      <w:r>
        <w:rPr>
          <w:rFonts w:hint="eastAsia" w:ascii="仿宋" w:hAnsi="仿宋" w:eastAsia="仿宋"/>
          <w:b/>
          <w:color w:val="auto"/>
          <w:sz w:val="24"/>
        </w:rPr>
        <w:t>6、试验</w:t>
      </w:r>
    </w:p>
    <w:p>
      <w:pPr>
        <w:snapToGrid w:val="0"/>
        <w:spacing w:line="283" w:lineRule="auto"/>
        <w:rPr>
          <w:rFonts w:ascii="仿宋" w:hAnsi="仿宋" w:eastAsia="仿宋"/>
          <w:color w:val="auto"/>
          <w:sz w:val="24"/>
        </w:rPr>
      </w:pPr>
      <w:r>
        <w:rPr>
          <w:rFonts w:hint="eastAsia" w:ascii="仿宋" w:hAnsi="仿宋" w:eastAsia="仿宋"/>
          <w:color w:val="auto"/>
          <w:sz w:val="24"/>
        </w:rPr>
        <w:t>1）抽样试验频次</w:t>
      </w:r>
    </w:p>
    <w:p>
      <w:pPr>
        <w:snapToGrid w:val="0"/>
        <w:spacing w:line="283" w:lineRule="auto"/>
        <w:rPr>
          <w:rFonts w:ascii="仿宋" w:hAnsi="仿宋" w:eastAsia="仿宋"/>
          <w:color w:val="auto"/>
          <w:sz w:val="24"/>
        </w:rPr>
      </w:pPr>
      <w:r>
        <w:rPr>
          <w:rFonts w:hint="eastAsia" w:ascii="仿宋" w:hAnsi="仿宋" w:eastAsia="仿宋"/>
          <w:color w:val="auto"/>
          <w:sz w:val="24"/>
        </w:rPr>
        <w:t>符合GB/T12706.1</w:t>
      </w:r>
      <w:r>
        <w:rPr>
          <w:rFonts w:ascii="仿宋" w:hAnsi="仿宋" w:eastAsia="仿宋"/>
          <w:color w:val="auto"/>
          <w:sz w:val="24"/>
        </w:rPr>
        <w:t>—</w:t>
      </w:r>
      <w:r>
        <w:rPr>
          <w:rFonts w:hint="eastAsia" w:ascii="仿宋" w:hAnsi="仿宋" w:eastAsia="仿宋"/>
          <w:color w:val="auto"/>
          <w:sz w:val="24"/>
        </w:rPr>
        <w:t>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r>
        <w:rPr>
          <w:rFonts w:hint="eastAsia" w:ascii="仿宋" w:hAnsi="仿宋" w:eastAsia="仿宋"/>
          <w:color w:val="auto"/>
          <w:sz w:val="24"/>
        </w:rPr>
        <w:t>规定。</w:t>
      </w:r>
    </w:p>
    <w:p>
      <w:pPr>
        <w:snapToGrid w:val="0"/>
        <w:spacing w:line="283" w:lineRule="auto"/>
        <w:rPr>
          <w:rFonts w:ascii="仿宋" w:hAnsi="仿宋" w:eastAsia="仿宋"/>
          <w:color w:val="auto"/>
          <w:sz w:val="24"/>
        </w:rPr>
      </w:pPr>
      <w:r>
        <w:rPr>
          <w:rFonts w:hint="eastAsia" w:ascii="仿宋" w:hAnsi="仿宋" w:eastAsia="仿宋"/>
          <w:color w:val="auto"/>
          <w:sz w:val="24"/>
        </w:rPr>
        <w:t>2）电缆型式试验内容及方法</w:t>
      </w:r>
    </w:p>
    <w:p>
      <w:pPr>
        <w:snapToGrid w:val="0"/>
        <w:spacing w:line="283" w:lineRule="auto"/>
        <w:rPr>
          <w:rFonts w:ascii="仿宋" w:hAnsi="仿宋" w:eastAsia="仿宋"/>
          <w:color w:val="auto"/>
          <w:sz w:val="24"/>
        </w:rPr>
      </w:pPr>
      <w:r>
        <w:rPr>
          <w:rFonts w:hint="eastAsia" w:ascii="仿宋" w:hAnsi="仿宋" w:eastAsia="仿宋"/>
          <w:color w:val="auto"/>
          <w:sz w:val="24"/>
        </w:rPr>
        <w:t>符合GB/T12706.1</w:t>
      </w:r>
      <w:r>
        <w:rPr>
          <w:rFonts w:ascii="仿宋" w:hAnsi="仿宋" w:eastAsia="仿宋"/>
          <w:color w:val="auto"/>
          <w:sz w:val="24"/>
        </w:rPr>
        <w:t>—</w:t>
      </w:r>
      <w:r>
        <w:rPr>
          <w:rFonts w:hint="eastAsia" w:ascii="仿宋" w:hAnsi="仿宋" w:eastAsia="仿宋"/>
          <w:color w:val="auto"/>
          <w:sz w:val="24"/>
        </w:rPr>
        <w:t>2020</w:t>
      </w:r>
      <w:r>
        <w:rPr>
          <w:rFonts w:hint="eastAsia" w:ascii="仿宋" w:hAnsi="仿宋" w:eastAsia="仿宋"/>
          <w:color w:val="auto"/>
          <w:sz w:val="24"/>
          <w:szCs w:val="24"/>
        </w:rPr>
        <w:t>《</w:t>
      </w: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r>
        <w:rPr>
          <w:rFonts w:hint="eastAsia" w:ascii="仿宋" w:hAnsi="仿宋" w:eastAsia="仿宋"/>
          <w:color w:val="auto"/>
          <w:sz w:val="24"/>
        </w:rPr>
        <w:t>的规定。</w:t>
      </w:r>
    </w:p>
    <w:p>
      <w:pPr>
        <w:pStyle w:val="2"/>
        <w:rPr>
          <w:color w:val="auto"/>
        </w:rPr>
      </w:pPr>
      <w:r>
        <w:rPr>
          <w:rFonts w:hint="eastAsia" w:ascii="仿宋" w:hAnsi="仿宋" w:eastAsia="仿宋"/>
          <w:color w:val="auto"/>
          <w:sz w:val="24"/>
        </w:rPr>
        <w:t>（提供加盖投标人公章的承诺书，原件扫描上传至电子投标文件中）</w:t>
      </w:r>
    </w:p>
    <w:p>
      <w:pPr>
        <w:snapToGrid w:val="0"/>
        <w:spacing w:line="283" w:lineRule="auto"/>
        <w:rPr>
          <w:rFonts w:ascii="仿宋" w:hAnsi="仿宋" w:eastAsia="仿宋"/>
          <w:b/>
          <w:color w:val="auto"/>
          <w:sz w:val="24"/>
        </w:rPr>
      </w:pPr>
      <w:r>
        <w:rPr>
          <w:rFonts w:ascii="仿宋" w:hAnsi="仿宋" w:eastAsia="仿宋"/>
          <w:b/>
          <w:color w:val="auto"/>
          <w:sz w:val="24"/>
        </w:rPr>
        <w:t>★</w:t>
      </w:r>
      <w:r>
        <w:rPr>
          <w:rFonts w:hint="eastAsia" w:ascii="仿宋" w:hAnsi="仿宋" w:eastAsia="仿宋"/>
          <w:b/>
          <w:color w:val="auto"/>
          <w:sz w:val="24"/>
        </w:rPr>
        <w:t>7、包装</w:t>
      </w:r>
    </w:p>
    <w:p>
      <w:pPr>
        <w:snapToGrid w:val="0"/>
        <w:spacing w:line="283" w:lineRule="auto"/>
        <w:rPr>
          <w:rFonts w:ascii="仿宋" w:hAnsi="仿宋" w:eastAsia="仿宋"/>
          <w:color w:val="auto"/>
          <w:sz w:val="24"/>
        </w:rPr>
      </w:pPr>
      <w:r>
        <w:rPr>
          <w:rFonts w:hint="eastAsia" w:ascii="仿宋" w:hAnsi="仿宋" w:eastAsia="仿宋"/>
          <w:color w:val="auto"/>
          <w:sz w:val="24"/>
        </w:rPr>
        <w:t>1）电缆妥善包装在符合要求的电缆盘上交货。电缆端头可靠密封，伸出盘外的电缆端头加保护罩，伸出的长度不小于300mm。</w:t>
      </w:r>
    </w:p>
    <w:p>
      <w:pPr>
        <w:snapToGrid w:val="0"/>
        <w:spacing w:line="283" w:lineRule="auto"/>
        <w:rPr>
          <w:rFonts w:ascii="仿宋" w:hAnsi="仿宋" w:eastAsia="仿宋"/>
          <w:color w:val="auto"/>
          <w:sz w:val="24"/>
        </w:rPr>
      </w:pPr>
      <w:r>
        <w:rPr>
          <w:rFonts w:hint="eastAsia" w:ascii="仿宋" w:hAnsi="仿宋" w:eastAsia="仿宋"/>
          <w:color w:val="auto"/>
          <w:sz w:val="24"/>
        </w:rPr>
        <w:t>2）每盘电缆附有产品质量检验合格证，电缆盘上标明：制造厂名或商标、电缆型号及规格、长度、毛重、制造日期、表示电缆盘正确滚动方向的符号、标准编号。</w:t>
      </w:r>
    </w:p>
    <w:p>
      <w:pPr>
        <w:snapToGrid w:val="0"/>
        <w:spacing w:line="283" w:lineRule="auto"/>
        <w:rPr>
          <w:rFonts w:ascii="仿宋" w:hAnsi="仿宋" w:eastAsia="仿宋"/>
          <w:color w:val="auto"/>
          <w:sz w:val="24"/>
        </w:rPr>
      </w:pPr>
      <w:r>
        <w:rPr>
          <w:rFonts w:hint="eastAsia" w:ascii="仿宋" w:hAnsi="仿宋" w:eastAsia="仿宋"/>
          <w:color w:val="auto"/>
          <w:sz w:val="24"/>
        </w:rPr>
        <w:t>（提供加盖投标人公章的承诺书，原件扫描上传至电子投标文件中）</w:t>
      </w:r>
    </w:p>
    <w:p>
      <w:pPr>
        <w:snapToGrid w:val="0"/>
        <w:spacing w:line="283" w:lineRule="auto"/>
        <w:rPr>
          <w:rFonts w:ascii="仿宋" w:hAnsi="仿宋" w:eastAsia="仿宋"/>
          <w:b/>
          <w:color w:val="auto"/>
          <w:sz w:val="24"/>
        </w:rPr>
      </w:pPr>
      <w:r>
        <w:rPr>
          <w:rFonts w:ascii="仿宋" w:hAnsi="仿宋" w:eastAsia="仿宋"/>
          <w:b/>
          <w:color w:val="auto"/>
          <w:sz w:val="24"/>
        </w:rPr>
        <w:t>★</w:t>
      </w:r>
      <w:r>
        <w:rPr>
          <w:rFonts w:hint="eastAsia" w:ascii="仿宋" w:hAnsi="仿宋" w:eastAsia="仿宋"/>
          <w:b/>
          <w:color w:val="auto"/>
          <w:sz w:val="24"/>
        </w:rPr>
        <w:t>8、运输和保管应符合下列要求：</w:t>
      </w:r>
    </w:p>
    <w:p>
      <w:pPr>
        <w:snapToGrid w:val="0"/>
        <w:spacing w:line="283" w:lineRule="auto"/>
        <w:rPr>
          <w:rFonts w:ascii="仿宋" w:hAnsi="仿宋" w:eastAsia="仿宋"/>
          <w:color w:val="auto"/>
          <w:sz w:val="24"/>
        </w:rPr>
      </w:pPr>
      <w:r>
        <w:rPr>
          <w:rFonts w:hint="eastAsia" w:ascii="仿宋" w:hAnsi="仿宋" w:eastAsia="仿宋"/>
          <w:color w:val="auto"/>
          <w:sz w:val="24"/>
        </w:rPr>
        <w:t>1）电缆应避免露天存放，电缆盘不允许平放。</w:t>
      </w:r>
    </w:p>
    <w:p>
      <w:pPr>
        <w:snapToGrid w:val="0"/>
        <w:spacing w:line="283" w:lineRule="auto"/>
        <w:rPr>
          <w:rFonts w:ascii="仿宋" w:hAnsi="仿宋" w:eastAsia="仿宋"/>
          <w:color w:val="auto"/>
          <w:sz w:val="24"/>
        </w:rPr>
      </w:pPr>
      <w:r>
        <w:rPr>
          <w:rFonts w:hint="eastAsia" w:ascii="仿宋" w:hAnsi="仿宋" w:eastAsia="仿宋"/>
          <w:color w:val="auto"/>
          <w:sz w:val="24"/>
        </w:rPr>
        <w:t>2）运输中严禁从高处扔下装有电缆的电缆盘，严禁机械损伤电缆。</w:t>
      </w:r>
    </w:p>
    <w:p>
      <w:pPr>
        <w:snapToGrid w:val="0"/>
        <w:spacing w:line="283" w:lineRule="auto"/>
        <w:rPr>
          <w:rFonts w:ascii="仿宋" w:hAnsi="仿宋" w:eastAsia="仿宋"/>
          <w:color w:val="auto"/>
          <w:sz w:val="24"/>
        </w:rPr>
      </w:pPr>
      <w:r>
        <w:rPr>
          <w:rFonts w:hint="eastAsia" w:ascii="仿宋" w:hAnsi="仿宋" w:eastAsia="仿宋"/>
          <w:color w:val="auto"/>
          <w:sz w:val="24"/>
        </w:rPr>
        <w:t>3）吊装包装件时，严禁几盘同时吊装。在车辆、船舶等运输工具上，电缆盘必须放稳，并用合适方法固定，防止互撞或翻倒。</w:t>
      </w:r>
    </w:p>
    <w:p>
      <w:pPr>
        <w:snapToGrid w:val="0"/>
        <w:spacing w:line="283" w:lineRule="auto"/>
        <w:rPr>
          <w:rFonts w:ascii="仿宋" w:hAnsi="仿宋" w:eastAsia="仿宋"/>
          <w:color w:val="auto"/>
          <w:sz w:val="24"/>
        </w:rPr>
      </w:pPr>
      <w:r>
        <w:rPr>
          <w:rFonts w:hint="eastAsia" w:ascii="仿宋" w:hAnsi="仿宋" w:eastAsia="仿宋"/>
          <w:color w:val="auto"/>
          <w:sz w:val="24"/>
        </w:rPr>
        <w:t>（提供加盖投标人公章的承诺书，原件扫描上传至电子投标文件中）</w:t>
      </w:r>
    </w:p>
    <w:p>
      <w:pPr>
        <w:snapToGrid w:val="0"/>
        <w:spacing w:line="288" w:lineRule="auto"/>
        <w:rPr>
          <w:rFonts w:ascii="仿宋" w:hAnsi="仿宋" w:eastAsia="仿宋"/>
          <w:b/>
          <w:color w:val="auto"/>
          <w:sz w:val="24"/>
          <w:szCs w:val="24"/>
        </w:rPr>
      </w:pPr>
      <w:r>
        <w:rPr>
          <w:rFonts w:hint="eastAsia" w:ascii="仿宋" w:hAnsi="仿宋" w:eastAsia="仿宋"/>
          <w:b/>
          <w:color w:val="auto"/>
          <w:sz w:val="24"/>
          <w:szCs w:val="24"/>
        </w:rPr>
        <w:t>四、配件、备件要求</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1、本次采购需配备的配件、备件、耗材内容和数量要求：无</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2、后续采购配件、备件、耗材折扣要求：无</w:t>
      </w:r>
    </w:p>
    <w:p>
      <w:pPr>
        <w:snapToGrid w:val="0"/>
        <w:spacing w:line="288" w:lineRule="auto"/>
        <w:rPr>
          <w:rFonts w:ascii="仿宋" w:hAnsi="仿宋" w:eastAsia="仿宋"/>
          <w:b/>
          <w:color w:val="auto"/>
          <w:sz w:val="24"/>
          <w:szCs w:val="24"/>
        </w:rPr>
      </w:pPr>
      <w:r>
        <w:rPr>
          <w:rFonts w:hint="eastAsia" w:ascii="仿宋" w:hAnsi="仿宋" w:eastAsia="仿宋"/>
          <w:b/>
          <w:color w:val="auto"/>
          <w:sz w:val="24"/>
          <w:szCs w:val="24"/>
        </w:rPr>
        <w:t>五、产品需执行的国家相关标准、行业标准、地方标准或者其他标准、规范</w:t>
      </w:r>
    </w:p>
    <w:tbl>
      <w:tblPr>
        <w:tblStyle w:val="13"/>
        <w:tblW w:w="9791" w:type="dxa"/>
        <w:jc w:val="center"/>
        <w:tblLayout w:type="fixed"/>
        <w:tblCellMar>
          <w:top w:w="0" w:type="dxa"/>
          <w:left w:w="108" w:type="dxa"/>
          <w:bottom w:w="0" w:type="dxa"/>
          <w:right w:w="108" w:type="dxa"/>
        </w:tblCellMar>
      </w:tblPr>
      <w:tblGrid>
        <w:gridCol w:w="2433"/>
        <w:gridCol w:w="7358"/>
      </w:tblGrid>
      <w:tr>
        <w:tblPrEx>
          <w:tblCellMar>
            <w:top w:w="0" w:type="dxa"/>
            <w:left w:w="108" w:type="dxa"/>
            <w:bottom w:w="0" w:type="dxa"/>
            <w:right w:w="108" w:type="dxa"/>
          </w:tblCellMar>
        </w:tblPrEx>
        <w:trPr>
          <w:trHeight w:val="454" w:hRule="atLeast"/>
          <w:jc w:val="center"/>
        </w:trPr>
        <w:tc>
          <w:tcPr>
            <w:tcW w:w="2433" w:type="dxa"/>
            <w:tcBorders>
              <w:top w:val="single" w:color="auto" w:sz="4" w:space="0"/>
              <w:left w:val="single" w:color="auto" w:sz="4" w:space="0"/>
              <w:bottom w:val="single" w:color="auto" w:sz="6" w:space="0"/>
              <w:right w:val="single" w:color="auto" w:sz="6" w:space="0"/>
            </w:tcBorders>
            <w:vAlign w:val="center"/>
          </w:tcPr>
          <w:p>
            <w:pPr>
              <w:adjustRightInd w:val="0"/>
              <w:spacing w:line="283" w:lineRule="auto"/>
              <w:rPr>
                <w:rFonts w:ascii="仿宋" w:hAnsi="仿宋" w:eastAsia="仿宋"/>
                <w:color w:val="auto"/>
                <w:sz w:val="24"/>
                <w:szCs w:val="24"/>
              </w:rPr>
            </w:pPr>
            <w:r>
              <w:rPr>
                <w:rFonts w:ascii="仿宋" w:hAnsi="仿宋" w:eastAsia="仿宋"/>
                <w:color w:val="auto"/>
                <w:sz w:val="24"/>
                <w:szCs w:val="24"/>
              </w:rPr>
              <w:t>GB</w:t>
            </w:r>
            <w:r>
              <w:rPr>
                <w:rFonts w:hint="eastAsia" w:ascii="仿宋" w:hAnsi="仿宋" w:eastAsia="仿宋"/>
                <w:color w:val="auto"/>
                <w:sz w:val="24"/>
                <w:szCs w:val="24"/>
              </w:rPr>
              <w:t>/T</w:t>
            </w:r>
            <w:r>
              <w:rPr>
                <w:rFonts w:ascii="仿宋" w:hAnsi="仿宋" w:eastAsia="仿宋"/>
                <w:color w:val="auto"/>
                <w:sz w:val="24"/>
                <w:szCs w:val="24"/>
              </w:rPr>
              <w:t>12706.1—</w:t>
            </w:r>
            <w:r>
              <w:rPr>
                <w:rFonts w:hint="eastAsia" w:ascii="仿宋" w:hAnsi="仿宋" w:eastAsia="仿宋"/>
                <w:color w:val="auto"/>
                <w:sz w:val="24"/>
                <w:szCs w:val="24"/>
              </w:rPr>
              <w:t>2020</w:t>
            </w:r>
          </w:p>
        </w:tc>
        <w:tc>
          <w:tcPr>
            <w:tcW w:w="7358" w:type="dxa"/>
            <w:tcBorders>
              <w:top w:val="single" w:color="auto" w:sz="4" w:space="0"/>
              <w:left w:val="single" w:color="auto" w:sz="6" w:space="0"/>
              <w:bottom w:val="single" w:color="auto" w:sz="6" w:space="0"/>
              <w:right w:val="single" w:color="auto" w:sz="4" w:space="0"/>
            </w:tcBorders>
            <w:vAlign w:val="center"/>
          </w:tcPr>
          <w:p>
            <w:pPr>
              <w:adjustRightInd w:val="0"/>
              <w:spacing w:line="283" w:lineRule="auto"/>
              <w:rPr>
                <w:rFonts w:ascii="仿宋" w:hAnsi="仿宋" w:eastAsia="仿宋"/>
                <w:color w:val="auto"/>
                <w:sz w:val="24"/>
                <w:szCs w:val="24"/>
              </w:rPr>
            </w:pPr>
            <w:r>
              <w:rPr>
                <w:rFonts w:ascii="仿宋" w:hAnsi="仿宋" w:eastAsia="仿宋"/>
                <w:color w:val="auto"/>
                <w:sz w:val="24"/>
                <w:szCs w:val="24"/>
              </w:rPr>
              <w:t>额定电压</w:t>
            </w:r>
            <w:r>
              <w:rPr>
                <w:rFonts w:hint="eastAsia" w:ascii="仿宋" w:hAnsi="仿宋" w:eastAsia="仿宋"/>
                <w:color w:val="auto"/>
                <w:sz w:val="24"/>
                <w:szCs w:val="24"/>
              </w:rPr>
              <w:t>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)到35</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m=40.5kV</w:t>
            </w:r>
            <w:r>
              <w:rPr>
                <w:rFonts w:hint="eastAsia" w:ascii="仿宋" w:hAnsi="仿宋" w:eastAsia="仿宋"/>
                <w:color w:val="auto"/>
                <w:sz w:val="24"/>
                <w:szCs w:val="24"/>
              </w:rPr>
              <w:t>)挤包绝缘电力电缆及附件</w:t>
            </w:r>
            <w:r>
              <w:rPr>
                <w:rFonts w:ascii="仿宋" w:hAnsi="仿宋" w:eastAsia="仿宋"/>
                <w:color w:val="auto"/>
                <w:sz w:val="24"/>
                <w:szCs w:val="24"/>
              </w:rPr>
              <w:t>第1部分</w:t>
            </w:r>
            <w:r>
              <w:rPr>
                <w:rFonts w:hint="eastAsia" w:ascii="仿宋" w:hAnsi="仿宋" w:eastAsia="仿宋"/>
                <w:color w:val="auto"/>
                <w:sz w:val="24"/>
                <w:szCs w:val="24"/>
              </w:rPr>
              <w:t>额定电压1</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m=1.2kV</w:t>
            </w:r>
            <w:r>
              <w:rPr>
                <w:rFonts w:hint="eastAsia" w:ascii="仿宋" w:hAnsi="仿宋" w:eastAsia="仿宋"/>
                <w:color w:val="auto"/>
                <w:sz w:val="24"/>
                <w:szCs w:val="24"/>
              </w:rPr>
              <w:t>)和3</w:t>
            </w:r>
            <w:r>
              <w:rPr>
                <w:rFonts w:ascii="仿宋" w:hAnsi="仿宋" w:eastAsia="仿宋"/>
                <w:color w:val="auto"/>
                <w:sz w:val="24"/>
                <w:szCs w:val="24"/>
              </w:rPr>
              <w:t>kV</w:t>
            </w:r>
            <w:r>
              <w:rPr>
                <w:rFonts w:hint="eastAsia" w:ascii="仿宋" w:hAnsi="仿宋" w:eastAsia="仿宋"/>
                <w:color w:val="auto"/>
                <w:sz w:val="24"/>
                <w:szCs w:val="24"/>
              </w:rPr>
              <w:t>(U</w:t>
            </w:r>
            <w:r>
              <w:rPr>
                <w:rFonts w:ascii="仿宋" w:hAnsi="仿宋" w:eastAsia="仿宋"/>
                <w:color w:val="auto"/>
                <w:sz w:val="24"/>
                <w:szCs w:val="24"/>
              </w:rPr>
              <w:t>m=3.6kV</w:t>
            </w:r>
            <w:r>
              <w:rPr>
                <w:rFonts w:hint="eastAsia" w:ascii="仿宋" w:hAnsi="仿宋" w:eastAsia="仿宋"/>
                <w:color w:val="auto"/>
                <w:sz w:val="24"/>
                <w:szCs w:val="24"/>
              </w:rPr>
              <w:t>)电缆</w:t>
            </w:r>
          </w:p>
        </w:tc>
      </w:tr>
      <w:tr>
        <w:tblPrEx>
          <w:tblCellMar>
            <w:top w:w="0" w:type="dxa"/>
            <w:left w:w="108" w:type="dxa"/>
            <w:bottom w:w="0" w:type="dxa"/>
            <w:right w:w="108" w:type="dxa"/>
          </w:tblCellMar>
        </w:tblPrEx>
        <w:trPr>
          <w:trHeight w:val="454" w:hRule="atLeast"/>
          <w:jc w:val="center"/>
        </w:trPr>
        <w:tc>
          <w:tcPr>
            <w:tcW w:w="2433" w:type="dxa"/>
            <w:tcBorders>
              <w:top w:val="single" w:color="auto" w:sz="6" w:space="0"/>
              <w:left w:val="single" w:color="auto" w:sz="4" w:space="0"/>
              <w:bottom w:val="single" w:color="auto" w:sz="6" w:space="0"/>
              <w:right w:val="single" w:color="auto" w:sz="6" w:space="0"/>
            </w:tcBorders>
            <w:vAlign w:val="center"/>
          </w:tcPr>
          <w:p>
            <w:pPr>
              <w:adjustRightInd w:val="0"/>
              <w:spacing w:line="283" w:lineRule="auto"/>
              <w:rPr>
                <w:rFonts w:ascii="仿宋" w:hAnsi="仿宋" w:eastAsia="仿宋"/>
                <w:color w:val="auto"/>
                <w:sz w:val="24"/>
                <w:szCs w:val="24"/>
              </w:rPr>
            </w:pPr>
            <w:r>
              <w:rPr>
                <w:rFonts w:hint="eastAsia" w:ascii="仿宋" w:hAnsi="仿宋" w:eastAsia="仿宋"/>
                <w:color w:val="auto"/>
                <w:sz w:val="24"/>
                <w:szCs w:val="24"/>
              </w:rPr>
              <w:t>GB/T3956—2008</w:t>
            </w:r>
          </w:p>
        </w:tc>
        <w:tc>
          <w:tcPr>
            <w:tcW w:w="7358" w:type="dxa"/>
            <w:tcBorders>
              <w:top w:val="single" w:color="auto" w:sz="6" w:space="0"/>
              <w:left w:val="single" w:color="auto" w:sz="6" w:space="0"/>
              <w:bottom w:val="single" w:color="auto" w:sz="6" w:space="0"/>
              <w:right w:val="single" w:color="auto" w:sz="4" w:space="0"/>
            </w:tcBorders>
            <w:vAlign w:val="center"/>
          </w:tcPr>
          <w:p>
            <w:pPr>
              <w:adjustRightInd w:val="0"/>
              <w:spacing w:line="283" w:lineRule="auto"/>
              <w:rPr>
                <w:rFonts w:ascii="仿宋" w:hAnsi="仿宋" w:eastAsia="仿宋"/>
                <w:color w:val="auto"/>
                <w:sz w:val="24"/>
                <w:szCs w:val="24"/>
              </w:rPr>
            </w:pPr>
            <w:r>
              <w:rPr>
                <w:rFonts w:hint="eastAsia" w:ascii="仿宋" w:hAnsi="仿宋" w:eastAsia="仿宋"/>
                <w:color w:val="auto"/>
                <w:sz w:val="24"/>
                <w:szCs w:val="24"/>
              </w:rPr>
              <w:t>电缆的导体</w:t>
            </w:r>
          </w:p>
        </w:tc>
      </w:tr>
      <w:tr>
        <w:tblPrEx>
          <w:tblCellMar>
            <w:top w:w="0" w:type="dxa"/>
            <w:left w:w="108" w:type="dxa"/>
            <w:bottom w:w="0" w:type="dxa"/>
            <w:right w:w="108" w:type="dxa"/>
          </w:tblCellMar>
        </w:tblPrEx>
        <w:trPr>
          <w:trHeight w:val="454" w:hRule="atLeast"/>
          <w:jc w:val="center"/>
        </w:trPr>
        <w:tc>
          <w:tcPr>
            <w:tcW w:w="2433" w:type="dxa"/>
            <w:tcBorders>
              <w:top w:val="single" w:color="auto" w:sz="6" w:space="0"/>
              <w:left w:val="single" w:color="auto" w:sz="4" w:space="0"/>
              <w:bottom w:val="single" w:color="auto" w:sz="6" w:space="0"/>
              <w:right w:val="single" w:color="auto" w:sz="6" w:space="0"/>
            </w:tcBorders>
            <w:vAlign w:val="center"/>
          </w:tcPr>
          <w:p>
            <w:pPr>
              <w:adjustRightInd w:val="0"/>
              <w:spacing w:line="283" w:lineRule="auto"/>
              <w:rPr>
                <w:rFonts w:ascii="仿宋" w:hAnsi="仿宋" w:eastAsia="仿宋"/>
                <w:color w:val="auto"/>
                <w:sz w:val="24"/>
                <w:szCs w:val="24"/>
              </w:rPr>
            </w:pPr>
            <w:r>
              <w:rPr>
                <w:rFonts w:ascii="仿宋" w:hAnsi="仿宋" w:eastAsia="仿宋"/>
                <w:color w:val="auto"/>
                <w:sz w:val="24"/>
              </w:rPr>
              <w:t>GB/T</w:t>
            </w:r>
            <w:r>
              <w:rPr>
                <w:rFonts w:hint="eastAsia" w:ascii="仿宋" w:hAnsi="仿宋" w:eastAsia="仿宋"/>
                <w:color w:val="auto"/>
                <w:sz w:val="24"/>
              </w:rPr>
              <w:t>19666-2019</w:t>
            </w:r>
          </w:p>
        </w:tc>
        <w:tc>
          <w:tcPr>
            <w:tcW w:w="7358" w:type="dxa"/>
            <w:tcBorders>
              <w:top w:val="single" w:color="auto" w:sz="6" w:space="0"/>
              <w:left w:val="single" w:color="auto" w:sz="6" w:space="0"/>
              <w:bottom w:val="single" w:color="auto" w:sz="6" w:space="0"/>
              <w:right w:val="single" w:color="auto" w:sz="4" w:space="0"/>
            </w:tcBorders>
            <w:vAlign w:val="center"/>
          </w:tcPr>
          <w:p>
            <w:pPr>
              <w:adjustRightInd w:val="0"/>
              <w:spacing w:line="283" w:lineRule="auto"/>
              <w:rPr>
                <w:rFonts w:ascii="仿宋" w:hAnsi="仿宋" w:eastAsia="仿宋"/>
                <w:color w:val="auto"/>
                <w:sz w:val="24"/>
                <w:szCs w:val="24"/>
              </w:rPr>
            </w:pPr>
            <w:r>
              <w:rPr>
                <w:rFonts w:hint="eastAsia" w:ascii="仿宋" w:hAnsi="仿宋" w:eastAsia="仿宋"/>
                <w:color w:val="auto"/>
                <w:sz w:val="24"/>
                <w:szCs w:val="24"/>
              </w:rPr>
              <w:t>阻燃和耐火电线电缆或光缆通则</w:t>
            </w:r>
          </w:p>
        </w:tc>
      </w:tr>
    </w:tbl>
    <w:p>
      <w:pPr>
        <w:snapToGrid w:val="0"/>
        <w:spacing w:line="288" w:lineRule="auto"/>
        <w:rPr>
          <w:rFonts w:ascii="仿宋" w:hAnsi="仿宋" w:eastAsia="仿宋"/>
          <w:color w:val="auto"/>
          <w:sz w:val="24"/>
          <w:szCs w:val="24"/>
        </w:rPr>
      </w:pPr>
    </w:p>
    <w:p>
      <w:pPr>
        <w:pStyle w:val="2"/>
        <w:snapToGrid w:val="0"/>
        <w:spacing w:line="288" w:lineRule="auto"/>
        <w:rPr>
          <w:rFonts w:ascii="仿宋" w:hAnsi="仿宋" w:eastAsia="仿宋"/>
          <w:b/>
          <w:color w:val="auto"/>
          <w:sz w:val="24"/>
          <w:szCs w:val="24"/>
        </w:rPr>
      </w:pPr>
      <w:r>
        <w:rPr>
          <w:rFonts w:hint="eastAsia" w:ascii="仿宋" w:hAnsi="仿宋" w:eastAsia="仿宋"/>
          <w:b/>
          <w:color w:val="auto"/>
          <w:sz w:val="24"/>
          <w:szCs w:val="24"/>
        </w:rPr>
        <w:t>六、供应商特殊资质要求</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 xml:space="preserve">无。 </w:t>
      </w:r>
    </w:p>
    <w:p>
      <w:pPr>
        <w:snapToGrid w:val="0"/>
        <w:spacing w:line="288" w:lineRule="auto"/>
        <w:rPr>
          <w:rFonts w:ascii="仿宋" w:hAnsi="仿宋" w:eastAsia="仿宋"/>
          <w:b/>
          <w:color w:val="auto"/>
          <w:sz w:val="24"/>
          <w:szCs w:val="24"/>
        </w:rPr>
      </w:pPr>
      <w:r>
        <w:rPr>
          <w:rFonts w:hint="eastAsia" w:ascii="仿宋" w:hAnsi="仿宋" w:eastAsia="仿宋"/>
          <w:b/>
          <w:color w:val="auto"/>
          <w:sz w:val="24"/>
          <w:szCs w:val="24"/>
        </w:rPr>
        <w:t>七、商务要求</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★1、保质期：质保期不低于2年</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★2、</w:t>
      </w:r>
      <w:r>
        <w:rPr>
          <w:rFonts w:ascii="仿宋" w:hAnsi="仿宋" w:eastAsia="仿宋"/>
          <w:color w:val="auto"/>
          <w:sz w:val="24"/>
          <w:szCs w:val="24"/>
        </w:rPr>
        <w:t>交货时间：</w:t>
      </w:r>
      <w:r>
        <w:rPr>
          <w:rFonts w:hint="eastAsia" w:ascii="仿宋" w:hAnsi="仿宋" w:eastAsia="仿宋"/>
          <w:color w:val="auto"/>
          <w:sz w:val="24"/>
          <w:szCs w:val="24"/>
        </w:rPr>
        <w:t>接到甲方通知之日起 30 日历天内完成低压电缆供货</w:t>
      </w:r>
      <w:r>
        <w:rPr>
          <w:rFonts w:ascii="仿宋" w:hAnsi="仿宋" w:eastAsia="仿宋"/>
          <w:color w:val="auto"/>
          <w:sz w:val="24"/>
          <w:szCs w:val="24"/>
        </w:rPr>
        <w:t>。</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3、交货地点：南京大学仙林校区</w:t>
      </w:r>
      <w:r>
        <w:rPr>
          <w:rFonts w:hint="eastAsia" w:ascii="仿宋" w:hAnsi="仿宋" w:eastAsia="仿宋" w:cs="仿宋_GB2312"/>
          <w:bCs/>
          <w:color w:val="auto"/>
          <w:sz w:val="24"/>
          <w:szCs w:val="24"/>
        </w:rPr>
        <w:t>动物房项目</w:t>
      </w:r>
      <w:r>
        <w:rPr>
          <w:rFonts w:ascii="仿宋" w:hAnsi="仿宋" w:eastAsia="仿宋"/>
          <w:color w:val="auto"/>
          <w:sz w:val="24"/>
          <w:szCs w:val="24"/>
        </w:rPr>
        <w:t>指定地点。</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4、培训要求：免费使用与维护培训</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5、售后服务响应要求：</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（1）在质量保证期内，中标人应对由于设计、工艺或材料的缺陷所发生的任何不足或故障负责，所需费用由乙方承担。</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（2）设立24小时报修电话；</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（3）对紧急故障的处理时限：除不可抗力的影响外，维保方接到故障通知后须2小时内派技术人员到达现场处理；</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（4）对不影响空一般故障的处理时限：4小时内派技术人员到达现场处理。一般性设备故障的最大处理时间不得超过8小时；重大设备故障的最大处理时间不得超过48小时。</w:t>
      </w:r>
    </w:p>
    <w:p>
      <w:pPr>
        <w:snapToGrid w:val="0"/>
        <w:spacing w:line="288" w:lineRule="auto"/>
        <w:rPr>
          <w:rFonts w:ascii="仿宋" w:hAnsi="仿宋" w:eastAsia="仿宋"/>
          <w:color w:val="auto"/>
          <w:sz w:val="24"/>
          <w:szCs w:val="24"/>
        </w:rPr>
      </w:pPr>
      <w:r>
        <w:rPr>
          <w:rFonts w:hint="eastAsia" w:ascii="仿宋" w:hAnsi="仿宋" w:eastAsia="仿宋"/>
          <w:color w:val="auto"/>
          <w:sz w:val="24"/>
          <w:szCs w:val="24"/>
        </w:rPr>
        <w:t>★6、付款方式：</w:t>
      </w:r>
    </w:p>
    <w:p>
      <w:pPr>
        <w:snapToGrid w:val="0"/>
        <w:spacing w:line="288" w:lineRule="auto"/>
        <w:rPr>
          <w:rFonts w:hint="eastAsia" w:ascii="仿宋" w:hAnsi="仿宋" w:eastAsia="仿宋"/>
          <w:color w:val="auto"/>
          <w:sz w:val="24"/>
          <w:szCs w:val="24"/>
        </w:rPr>
      </w:pPr>
      <w:r>
        <w:rPr>
          <w:rFonts w:hint="eastAsia" w:ascii="仿宋" w:hAnsi="仿宋" w:eastAsia="仿宋"/>
          <w:color w:val="auto"/>
          <w:sz w:val="24"/>
          <w:szCs w:val="24"/>
        </w:rPr>
        <w:t>（1）合同签订且供方将合同金额的5%作为履约保证金提交至南京大学指定账户后，货物按要求分批次供应至施工现场，由供方提出申请并按要求办理相关审签手续后，需方支付至该批次货款的70％；</w:t>
      </w:r>
    </w:p>
    <w:p>
      <w:pPr>
        <w:snapToGrid w:val="0"/>
        <w:spacing w:line="288" w:lineRule="auto"/>
        <w:rPr>
          <w:rFonts w:hint="eastAsia" w:ascii="仿宋" w:hAnsi="仿宋" w:eastAsia="仿宋"/>
          <w:color w:val="auto"/>
          <w:sz w:val="24"/>
          <w:szCs w:val="24"/>
        </w:rPr>
      </w:pPr>
      <w:r>
        <w:rPr>
          <w:rFonts w:hint="eastAsia" w:ascii="仿宋" w:hAnsi="仿宋" w:eastAsia="仿宋"/>
          <w:color w:val="auto"/>
          <w:sz w:val="24"/>
          <w:szCs w:val="24"/>
        </w:rPr>
        <w:t>（3）全部货物供应完成、经双方联合验收合格且供方将该项目全部技术资料完整移交至需方后，由供方提出申请并按要求办理相关审签手续并后，需方支付至实际总货款的100％；</w:t>
      </w:r>
    </w:p>
    <w:p>
      <w:pPr>
        <w:snapToGrid w:val="0"/>
        <w:spacing w:line="288" w:lineRule="auto"/>
        <w:rPr>
          <w:rFonts w:hint="eastAsia" w:ascii="仿宋" w:hAnsi="仿宋" w:eastAsia="仿宋"/>
          <w:color w:val="auto"/>
          <w:sz w:val="24"/>
          <w:szCs w:val="24"/>
        </w:rPr>
      </w:pPr>
      <w:r>
        <w:rPr>
          <w:rFonts w:hint="eastAsia" w:ascii="仿宋" w:hAnsi="仿宋" w:eastAsia="仿宋"/>
          <w:color w:val="auto"/>
          <w:sz w:val="24"/>
          <w:szCs w:val="24"/>
        </w:rPr>
        <w:t>（4）履约保证金自验收合格之日起满一年无息返还。</w:t>
      </w:r>
    </w:p>
    <w:p>
      <w:pPr>
        <w:snapToGrid w:val="0"/>
        <w:spacing w:line="288" w:lineRule="auto"/>
        <w:rPr>
          <w:rFonts w:hint="eastAsia" w:ascii="仿宋" w:hAnsi="仿宋" w:eastAsia="仿宋"/>
          <w:color w:val="auto"/>
          <w:sz w:val="24"/>
          <w:szCs w:val="24"/>
        </w:rPr>
      </w:pPr>
      <w:r>
        <w:rPr>
          <w:rFonts w:hint="eastAsia" w:ascii="仿宋" w:hAnsi="仿宋" w:eastAsia="仿宋"/>
          <w:color w:val="auto"/>
          <w:sz w:val="24"/>
          <w:szCs w:val="24"/>
        </w:rPr>
        <w:t>（5）货款的全额支付不免除供方承诺的质保期内应负的质保责任。</w:t>
      </w:r>
    </w:p>
    <w:p>
      <w:pPr>
        <w:snapToGrid w:val="0"/>
        <w:spacing w:line="288" w:lineRule="auto"/>
        <w:rPr>
          <w:rFonts w:ascii="仿宋" w:hAnsi="仿宋" w:eastAsia="仿宋"/>
          <w:b/>
          <w:color w:val="auto"/>
          <w:sz w:val="24"/>
          <w:szCs w:val="24"/>
        </w:rPr>
      </w:pPr>
      <w:r>
        <w:rPr>
          <w:rFonts w:hint="eastAsia" w:ascii="仿宋" w:hAnsi="仿宋" w:eastAsia="仿宋"/>
          <w:b/>
          <w:color w:val="auto"/>
          <w:sz w:val="24"/>
          <w:szCs w:val="24"/>
          <w:lang w:val="en-US" w:eastAsia="zh-CN"/>
        </w:rPr>
        <w:t>七</w:t>
      </w:r>
      <w:bookmarkStart w:id="0" w:name="_GoBack"/>
      <w:bookmarkEnd w:id="0"/>
      <w:r>
        <w:rPr>
          <w:rFonts w:hint="eastAsia" w:ascii="仿宋" w:hAnsi="仿宋" w:eastAsia="仿宋"/>
          <w:b/>
          <w:color w:val="auto"/>
          <w:sz w:val="24"/>
          <w:szCs w:val="24"/>
        </w:rPr>
        <w:t>、履约验收方案</w:t>
      </w:r>
    </w:p>
    <w:p>
      <w:pPr>
        <w:snapToGrid w:val="0"/>
        <w:spacing w:line="288" w:lineRule="auto"/>
        <w:rPr>
          <w:rFonts w:ascii="仿宋" w:hAnsi="仿宋" w:eastAsia="仿宋"/>
          <w:b/>
          <w:color w:val="auto"/>
          <w:sz w:val="24"/>
          <w:szCs w:val="24"/>
        </w:rPr>
      </w:pPr>
      <w:r>
        <w:rPr>
          <w:rFonts w:ascii="仿宋" w:hAnsi="仿宋" w:eastAsia="仿宋"/>
          <w:b/>
          <w:color w:val="auto"/>
          <w:sz w:val="24"/>
          <w:szCs w:val="24"/>
        </w:rPr>
        <w:t>1</w:t>
      </w:r>
      <w:r>
        <w:rPr>
          <w:rFonts w:hint="eastAsia" w:ascii="仿宋" w:hAnsi="仿宋" w:eastAsia="仿宋"/>
          <w:b/>
          <w:color w:val="auto"/>
          <w:sz w:val="24"/>
          <w:szCs w:val="24"/>
        </w:rPr>
        <w:t>、验收内容（包括每项技术和商务要求）：</w:t>
      </w:r>
    </w:p>
    <w:p>
      <w:pPr>
        <w:snapToGrid w:val="0"/>
        <w:spacing w:line="288" w:lineRule="auto"/>
        <w:rPr>
          <w:rFonts w:ascii="仿宋" w:hAnsi="仿宋" w:eastAsia="仿宋"/>
          <w:color w:val="auto"/>
          <w:sz w:val="24"/>
        </w:rPr>
      </w:pPr>
      <w:r>
        <w:rPr>
          <w:rFonts w:hint="eastAsia" w:ascii="仿宋" w:hAnsi="仿宋" w:eastAsia="仿宋"/>
          <w:color w:val="auto"/>
          <w:sz w:val="24"/>
        </w:rPr>
        <w:t>根据现行国家有关质量验收标准及本项目招投标文件、合同等对供应商所供材料设备的质量及供应商提供的各项技术服务的履约情况进行验收。</w:t>
      </w:r>
    </w:p>
    <w:p>
      <w:pPr>
        <w:snapToGrid w:val="0"/>
        <w:spacing w:line="288" w:lineRule="auto"/>
        <w:rPr>
          <w:rFonts w:ascii="仿宋" w:hAnsi="仿宋" w:eastAsia="仿宋"/>
          <w:b/>
          <w:color w:val="auto"/>
          <w:sz w:val="24"/>
          <w:szCs w:val="24"/>
        </w:rPr>
      </w:pPr>
      <w:r>
        <w:rPr>
          <w:rFonts w:ascii="仿宋" w:hAnsi="仿宋" w:eastAsia="仿宋"/>
          <w:b/>
          <w:color w:val="auto"/>
          <w:sz w:val="24"/>
          <w:szCs w:val="24"/>
        </w:rPr>
        <w:t>2</w:t>
      </w:r>
      <w:r>
        <w:rPr>
          <w:rFonts w:hint="eastAsia" w:ascii="仿宋" w:hAnsi="仿宋" w:eastAsia="仿宋"/>
          <w:b/>
          <w:color w:val="auto"/>
          <w:sz w:val="24"/>
          <w:szCs w:val="24"/>
        </w:rPr>
        <w:t>、验收标准（包括所有客观、量化指标）：</w:t>
      </w:r>
    </w:p>
    <w:p>
      <w:pPr>
        <w:snapToGrid w:val="0"/>
        <w:spacing w:line="288" w:lineRule="auto"/>
        <w:rPr>
          <w:rFonts w:ascii="仿宋" w:hAnsi="仿宋" w:eastAsia="仿宋"/>
          <w:color w:val="auto"/>
          <w:sz w:val="24"/>
        </w:rPr>
      </w:pPr>
      <w:r>
        <w:rPr>
          <w:rFonts w:hint="eastAsia" w:ascii="仿宋" w:hAnsi="仿宋" w:eastAsia="仿宋"/>
          <w:color w:val="auto"/>
          <w:sz w:val="24"/>
        </w:rPr>
        <w:t>现行国家有关质量验收标准及本项目招投标文件、合同等有关质量及服务要求。</w:t>
      </w:r>
    </w:p>
    <w:p>
      <w:pPr>
        <w:pStyle w:val="2"/>
        <w:snapToGrid w:val="0"/>
        <w:spacing w:line="288" w:lineRule="auto"/>
        <w:rPr>
          <w:color w:val="auto"/>
        </w:rPr>
      </w:pPr>
    </w:p>
    <w:p>
      <w:pPr>
        <w:pStyle w:val="2"/>
        <w:snapToGrid w:val="0"/>
        <w:spacing w:line="288" w:lineRule="auto"/>
        <w:rPr>
          <w:rFonts w:ascii="仿宋" w:hAnsi="仿宋" w:eastAsia="仿宋"/>
          <w:color w:val="auto"/>
          <w:sz w:val="28"/>
          <w:szCs w:val="28"/>
        </w:rPr>
      </w:pPr>
      <w:r>
        <w:rPr>
          <w:rFonts w:hint="eastAsia" w:ascii="仿宋" w:hAnsi="仿宋" w:eastAsia="仿宋"/>
          <w:color w:val="auto"/>
          <w:kern w:val="2"/>
          <w:sz w:val="24"/>
          <w:szCs w:val="22"/>
        </w:rPr>
        <w:t>备注：标注★的要求，为必须满足的产品要求或服务要求</w:t>
      </w:r>
      <w:r>
        <w:rPr>
          <w:rFonts w:hint="eastAsia" w:ascii="仿宋" w:hAnsi="仿宋" w:eastAsia="仿宋"/>
          <w:color w:val="auto"/>
          <w:sz w:val="28"/>
          <w:szCs w:val="28"/>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章"/>
      <w:lvlJc w:val="left"/>
      <w:rPr>
        <w:rFonts w:cs="Times New Roman"/>
      </w:rPr>
    </w:lvl>
    <w:lvl w:ilvl="1" w:tentative="0">
      <w:start w:val="1"/>
      <w:numFmt w:val="none"/>
      <w:suff w:val="nothing"/>
      <w:lvlText w:val=""/>
      <w:lvlJc w:val="left"/>
      <w:rPr>
        <w:rFonts w:cs="Times New Roman"/>
      </w:rPr>
    </w:lvl>
    <w:lvl w:ilvl="2" w:tentative="0">
      <w:start w:val="1"/>
      <w:numFmt w:val="none"/>
      <w:suff w:val="nothing"/>
      <w:lvlText w:val=""/>
      <w:lvlJc w:val="left"/>
      <w:rPr>
        <w:rFonts w:cs="Times New Roman"/>
      </w:rPr>
    </w:lvl>
    <w:lvl w:ilvl="3" w:tentative="0">
      <w:start w:val="1"/>
      <w:numFmt w:val="none"/>
      <w:suff w:val="nothing"/>
      <w:lvlText w:val=""/>
      <w:lvlJc w:val="left"/>
      <w:rPr>
        <w:rFonts w:cs="Times New Roman"/>
      </w:rPr>
    </w:lvl>
    <w:lvl w:ilvl="4" w:tentative="0">
      <w:start w:val="1"/>
      <w:numFmt w:val="none"/>
      <w:suff w:val="nothing"/>
      <w:lvlText w:val=""/>
      <w:lvlJc w:val="left"/>
      <w:rPr>
        <w:rFonts w:cs="Times New Roman"/>
      </w:rPr>
    </w:lvl>
    <w:lvl w:ilvl="5" w:tentative="0">
      <w:start w:val="1"/>
      <w:numFmt w:val="none"/>
      <w:suff w:val="nothing"/>
      <w:lvlText w:val=""/>
      <w:lvlJc w:val="left"/>
      <w:rPr>
        <w:rFonts w:cs="Times New Roman"/>
      </w:rPr>
    </w:lvl>
    <w:lvl w:ilvl="6" w:tentative="0">
      <w:start w:val="1"/>
      <w:numFmt w:val="none"/>
      <w:suff w:val="nothing"/>
      <w:lvlText w:val=""/>
      <w:lvlJc w:val="left"/>
      <w:rPr>
        <w:rFonts w:cs="Times New Roman"/>
      </w:rPr>
    </w:lvl>
    <w:lvl w:ilvl="7" w:tentative="0">
      <w:start w:val="1"/>
      <w:numFmt w:val="none"/>
      <w:suff w:val="nothing"/>
      <w:lvlText w:val=""/>
      <w:lvlJc w:val="left"/>
      <w:rPr>
        <w:rFonts w:cs="Times New Roman"/>
      </w:rPr>
    </w:lvl>
    <w:lvl w:ilvl="8" w:tentative="0">
      <w:start w:val="1"/>
      <w:numFmt w:val="none"/>
      <w:suff w:val="nothing"/>
      <w:lvlText w:val=""/>
      <w:lvlJc w:val="left"/>
      <w:rPr>
        <w:rFonts w:cs="Times New Roman"/>
      </w:rPr>
    </w:lvl>
  </w:abstractNum>
  <w:abstractNum w:abstractNumId="1">
    <w:nsid w:val="21ED27F1"/>
    <w:multiLevelType w:val="multilevel"/>
    <w:tmpl w:val="21ED27F1"/>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Mzk0Y2M4YjNmM2YxOWFjNTI5ZTBlOWU3OGRjMWMifQ=="/>
    <w:docVar w:name="KSO_WPS_MARK_KEY" w:val="317afc49-3b3f-43cb-981b-1c6f5e2b4bbe"/>
  </w:docVars>
  <w:rsids>
    <w:rsidRoot w:val="004D67E6"/>
    <w:rsid w:val="000023F3"/>
    <w:rsid w:val="000048A7"/>
    <w:rsid w:val="00014FC1"/>
    <w:rsid w:val="00016FBC"/>
    <w:rsid w:val="00020461"/>
    <w:rsid w:val="000207C6"/>
    <w:rsid w:val="00034958"/>
    <w:rsid w:val="00035EFA"/>
    <w:rsid w:val="00047FE5"/>
    <w:rsid w:val="0005437B"/>
    <w:rsid w:val="00084690"/>
    <w:rsid w:val="000875AD"/>
    <w:rsid w:val="00090246"/>
    <w:rsid w:val="00095DB0"/>
    <w:rsid w:val="000975C1"/>
    <w:rsid w:val="000A1532"/>
    <w:rsid w:val="000A758A"/>
    <w:rsid w:val="000B68AB"/>
    <w:rsid w:val="000C3223"/>
    <w:rsid w:val="000C3801"/>
    <w:rsid w:val="000C43D0"/>
    <w:rsid w:val="000C4C1A"/>
    <w:rsid w:val="000D0308"/>
    <w:rsid w:val="000D1EFB"/>
    <w:rsid w:val="000D7075"/>
    <w:rsid w:val="000E1A42"/>
    <w:rsid w:val="000E26A5"/>
    <w:rsid w:val="000E2FD5"/>
    <w:rsid w:val="000E3A4F"/>
    <w:rsid w:val="000F4339"/>
    <w:rsid w:val="000F507D"/>
    <w:rsid w:val="000F5867"/>
    <w:rsid w:val="000F65BE"/>
    <w:rsid w:val="000F74CE"/>
    <w:rsid w:val="00116878"/>
    <w:rsid w:val="00117F4C"/>
    <w:rsid w:val="00135944"/>
    <w:rsid w:val="001400B6"/>
    <w:rsid w:val="00141B27"/>
    <w:rsid w:val="00147B61"/>
    <w:rsid w:val="001556C6"/>
    <w:rsid w:val="00165F96"/>
    <w:rsid w:val="001710AB"/>
    <w:rsid w:val="001751C8"/>
    <w:rsid w:val="00177C0E"/>
    <w:rsid w:val="00181394"/>
    <w:rsid w:val="001866BC"/>
    <w:rsid w:val="00187710"/>
    <w:rsid w:val="00187BB0"/>
    <w:rsid w:val="00193F3C"/>
    <w:rsid w:val="001A2FFE"/>
    <w:rsid w:val="001A58CD"/>
    <w:rsid w:val="001B0E20"/>
    <w:rsid w:val="001C0957"/>
    <w:rsid w:val="001C0D4F"/>
    <w:rsid w:val="001C314C"/>
    <w:rsid w:val="001C4E94"/>
    <w:rsid w:val="001C6CEB"/>
    <w:rsid w:val="001D61BD"/>
    <w:rsid w:val="001E40B1"/>
    <w:rsid w:val="001E74EE"/>
    <w:rsid w:val="001F437D"/>
    <w:rsid w:val="001F7DFA"/>
    <w:rsid w:val="00203BF0"/>
    <w:rsid w:val="0022529E"/>
    <w:rsid w:val="00225F1E"/>
    <w:rsid w:val="00227390"/>
    <w:rsid w:val="00227F4B"/>
    <w:rsid w:val="00236E28"/>
    <w:rsid w:val="002379B7"/>
    <w:rsid w:val="00251DC7"/>
    <w:rsid w:val="0025405D"/>
    <w:rsid w:val="00255832"/>
    <w:rsid w:val="002575E7"/>
    <w:rsid w:val="0026370F"/>
    <w:rsid w:val="00272305"/>
    <w:rsid w:val="00274032"/>
    <w:rsid w:val="0027434B"/>
    <w:rsid w:val="00283BE8"/>
    <w:rsid w:val="002B7E1F"/>
    <w:rsid w:val="002C70DB"/>
    <w:rsid w:val="002E11FA"/>
    <w:rsid w:val="002E1486"/>
    <w:rsid w:val="002F2802"/>
    <w:rsid w:val="002F566D"/>
    <w:rsid w:val="0030189F"/>
    <w:rsid w:val="00301942"/>
    <w:rsid w:val="003032A4"/>
    <w:rsid w:val="0030453A"/>
    <w:rsid w:val="0033145A"/>
    <w:rsid w:val="0033429D"/>
    <w:rsid w:val="00342237"/>
    <w:rsid w:val="00345DEF"/>
    <w:rsid w:val="003470D2"/>
    <w:rsid w:val="003525E0"/>
    <w:rsid w:val="00353D20"/>
    <w:rsid w:val="00355E65"/>
    <w:rsid w:val="00360A4E"/>
    <w:rsid w:val="0037125C"/>
    <w:rsid w:val="00372277"/>
    <w:rsid w:val="00373EF0"/>
    <w:rsid w:val="00376FB7"/>
    <w:rsid w:val="003823A3"/>
    <w:rsid w:val="0038305C"/>
    <w:rsid w:val="0039147A"/>
    <w:rsid w:val="003928F4"/>
    <w:rsid w:val="003A049C"/>
    <w:rsid w:val="003A1801"/>
    <w:rsid w:val="003A4DE3"/>
    <w:rsid w:val="003A7B3D"/>
    <w:rsid w:val="003B109B"/>
    <w:rsid w:val="003C342C"/>
    <w:rsid w:val="003C6C55"/>
    <w:rsid w:val="003E3F98"/>
    <w:rsid w:val="003F1189"/>
    <w:rsid w:val="003F6B6A"/>
    <w:rsid w:val="0040593A"/>
    <w:rsid w:val="004100DE"/>
    <w:rsid w:val="0041292D"/>
    <w:rsid w:val="00415A2D"/>
    <w:rsid w:val="00417D66"/>
    <w:rsid w:val="00423B3E"/>
    <w:rsid w:val="00423F79"/>
    <w:rsid w:val="004339DA"/>
    <w:rsid w:val="00434B84"/>
    <w:rsid w:val="00440BE9"/>
    <w:rsid w:val="00447B36"/>
    <w:rsid w:val="00451A7E"/>
    <w:rsid w:val="00454157"/>
    <w:rsid w:val="00456995"/>
    <w:rsid w:val="00466FA5"/>
    <w:rsid w:val="00472C12"/>
    <w:rsid w:val="00480D32"/>
    <w:rsid w:val="00491411"/>
    <w:rsid w:val="0049474B"/>
    <w:rsid w:val="004952A7"/>
    <w:rsid w:val="00495E7B"/>
    <w:rsid w:val="004B2D71"/>
    <w:rsid w:val="004C7A6F"/>
    <w:rsid w:val="004D063C"/>
    <w:rsid w:val="004D67E6"/>
    <w:rsid w:val="004E168B"/>
    <w:rsid w:val="004E4919"/>
    <w:rsid w:val="004F419E"/>
    <w:rsid w:val="004F501C"/>
    <w:rsid w:val="004F6BE1"/>
    <w:rsid w:val="00504683"/>
    <w:rsid w:val="005053BC"/>
    <w:rsid w:val="0050625B"/>
    <w:rsid w:val="005111B6"/>
    <w:rsid w:val="00517879"/>
    <w:rsid w:val="00532850"/>
    <w:rsid w:val="005339F6"/>
    <w:rsid w:val="00536319"/>
    <w:rsid w:val="00544DB9"/>
    <w:rsid w:val="00560EF3"/>
    <w:rsid w:val="00572822"/>
    <w:rsid w:val="0058060F"/>
    <w:rsid w:val="00580689"/>
    <w:rsid w:val="00591758"/>
    <w:rsid w:val="00595D41"/>
    <w:rsid w:val="005A4E0C"/>
    <w:rsid w:val="005A7988"/>
    <w:rsid w:val="005B1C71"/>
    <w:rsid w:val="005B3C65"/>
    <w:rsid w:val="005C41B5"/>
    <w:rsid w:val="005C44D3"/>
    <w:rsid w:val="005C597C"/>
    <w:rsid w:val="005D3BAE"/>
    <w:rsid w:val="005E0394"/>
    <w:rsid w:val="005E5BCC"/>
    <w:rsid w:val="005E6FA0"/>
    <w:rsid w:val="00602E89"/>
    <w:rsid w:val="0061088E"/>
    <w:rsid w:val="00613115"/>
    <w:rsid w:val="00615607"/>
    <w:rsid w:val="00631CF4"/>
    <w:rsid w:val="0064281F"/>
    <w:rsid w:val="00643873"/>
    <w:rsid w:val="00652BDA"/>
    <w:rsid w:val="006568B8"/>
    <w:rsid w:val="006569D8"/>
    <w:rsid w:val="00663815"/>
    <w:rsid w:val="00667023"/>
    <w:rsid w:val="006729B9"/>
    <w:rsid w:val="006817C7"/>
    <w:rsid w:val="00682CF4"/>
    <w:rsid w:val="00684038"/>
    <w:rsid w:val="00695857"/>
    <w:rsid w:val="006B2FA5"/>
    <w:rsid w:val="006C27AB"/>
    <w:rsid w:val="006C6355"/>
    <w:rsid w:val="006E077B"/>
    <w:rsid w:val="006E458A"/>
    <w:rsid w:val="006F2EA5"/>
    <w:rsid w:val="00720B34"/>
    <w:rsid w:val="007303E0"/>
    <w:rsid w:val="00731571"/>
    <w:rsid w:val="007315DF"/>
    <w:rsid w:val="00742773"/>
    <w:rsid w:val="00745984"/>
    <w:rsid w:val="00752D75"/>
    <w:rsid w:val="00763E5D"/>
    <w:rsid w:val="00776D44"/>
    <w:rsid w:val="007814E0"/>
    <w:rsid w:val="00787CA3"/>
    <w:rsid w:val="00793835"/>
    <w:rsid w:val="007A0378"/>
    <w:rsid w:val="007A6F70"/>
    <w:rsid w:val="007B217A"/>
    <w:rsid w:val="007B5AEB"/>
    <w:rsid w:val="007B5D15"/>
    <w:rsid w:val="007D102F"/>
    <w:rsid w:val="007E6822"/>
    <w:rsid w:val="007E7A42"/>
    <w:rsid w:val="007F3551"/>
    <w:rsid w:val="007F4EAC"/>
    <w:rsid w:val="007F63BD"/>
    <w:rsid w:val="008021D8"/>
    <w:rsid w:val="00804CCE"/>
    <w:rsid w:val="008072F1"/>
    <w:rsid w:val="00811FE9"/>
    <w:rsid w:val="00830FF2"/>
    <w:rsid w:val="008319DC"/>
    <w:rsid w:val="00835998"/>
    <w:rsid w:val="008369F8"/>
    <w:rsid w:val="00836C30"/>
    <w:rsid w:val="00843EEC"/>
    <w:rsid w:val="00852A61"/>
    <w:rsid w:val="00857C45"/>
    <w:rsid w:val="00860435"/>
    <w:rsid w:val="00860EE1"/>
    <w:rsid w:val="00863A00"/>
    <w:rsid w:val="00871830"/>
    <w:rsid w:val="00881521"/>
    <w:rsid w:val="00884AA9"/>
    <w:rsid w:val="008900FD"/>
    <w:rsid w:val="00897851"/>
    <w:rsid w:val="008A208C"/>
    <w:rsid w:val="008A63D1"/>
    <w:rsid w:val="008B19CB"/>
    <w:rsid w:val="008C0130"/>
    <w:rsid w:val="008C1730"/>
    <w:rsid w:val="008D0324"/>
    <w:rsid w:val="008D2FC6"/>
    <w:rsid w:val="008D47C1"/>
    <w:rsid w:val="008E2720"/>
    <w:rsid w:val="008E4937"/>
    <w:rsid w:val="008F024A"/>
    <w:rsid w:val="008F1158"/>
    <w:rsid w:val="008F1487"/>
    <w:rsid w:val="00906C1D"/>
    <w:rsid w:val="00917E2F"/>
    <w:rsid w:val="00923731"/>
    <w:rsid w:val="009247B7"/>
    <w:rsid w:val="00925F00"/>
    <w:rsid w:val="00930AD4"/>
    <w:rsid w:val="0093749C"/>
    <w:rsid w:val="00943D74"/>
    <w:rsid w:val="00956DEE"/>
    <w:rsid w:val="00966845"/>
    <w:rsid w:val="00975533"/>
    <w:rsid w:val="009778EF"/>
    <w:rsid w:val="00980A90"/>
    <w:rsid w:val="00982C36"/>
    <w:rsid w:val="00997BC0"/>
    <w:rsid w:val="009A4A11"/>
    <w:rsid w:val="009A7704"/>
    <w:rsid w:val="009A7F15"/>
    <w:rsid w:val="009B0520"/>
    <w:rsid w:val="009C0E1E"/>
    <w:rsid w:val="009C64AF"/>
    <w:rsid w:val="009D16CF"/>
    <w:rsid w:val="009D2DF9"/>
    <w:rsid w:val="009E08D5"/>
    <w:rsid w:val="009F23FB"/>
    <w:rsid w:val="009F467D"/>
    <w:rsid w:val="009F611D"/>
    <w:rsid w:val="00A01189"/>
    <w:rsid w:val="00A11910"/>
    <w:rsid w:val="00A11E5B"/>
    <w:rsid w:val="00A138DA"/>
    <w:rsid w:val="00A16B54"/>
    <w:rsid w:val="00A23F18"/>
    <w:rsid w:val="00A26D5A"/>
    <w:rsid w:val="00A43284"/>
    <w:rsid w:val="00A54DC4"/>
    <w:rsid w:val="00A61870"/>
    <w:rsid w:val="00A6590F"/>
    <w:rsid w:val="00A66D4E"/>
    <w:rsid w:val="00A75D09"/>
    <w:rsid w:val="00A77726"/>
    <w:rsid w:val="00A86EC7"/>
    <w:rsid w:val="00AA649B"/>
    <w:rsid w:val="00AA65D4"/>
    <w:rsid w:val="00AC1261"/>
    <w:rsid w:val="00AC43F2"/>
    <w:rsid w:val="00AC59AC"/>
    <w:rsid w:val="00AC77B1"/>
    <w:rsid w:val="00AE5E5B"/>
    <w:rsid w:val="00AF7967"/>
    <w:rsid w:val="00B060C1"/>
    <w:rsid w:val="00B10BAB"/>
    <w:rsid w:val="00B11D5F"/>
    <w:rsid w:val="00B12E14"/>
    <w:rsid w:val="00B26BE7"/>
    <w:rsid w:val="00B26D56"/>
    <w:rsid w:val="00B30F62"/>
    <w:rsid w:val="00B337F2"/>
    <w:rsid w:val="00B364EC"/>
    <w:rsid w:val="00B377D1"/>
    <w:rsid w:val="00B47590"/>
    <w:rsid w:val="00B70606"/>
    <w:rsid w:val="00B73D6C"/>
    <w:rsid w:val="00B75F80"/>
    <w:rsid w:val="00B8216A"/>
    <w:rsid w:val="00B8458D"/>
    <w:rsid w:val="00B85A19"/>
    <w:rsid w:val="00B90FBB"/>
    <w:rsid w:val="00B95E88"/>
    <w:rsid w:val="00BA05BD"/>
    <w:rsid w:val="00BA6294"/>
    <w:rsid w:val="00BC45AE"/>
    <w:rsid w:val="00BD2283"/>
    <w:rsid w:val="00BD5D41"/>
    <w:rsid w:val="00BD7BCF"/>
    <w:rsid w:val="00BF16BC"/>
    <w:rsid w:val="00BF50CA"/>
    <w:rsid w:val="00C0140A"/>
    <w:rsid w:val="00C13C39"/>
    <w:rsid w:val="00C17C3D"/>
    <w:rsid w:val="00C2132B"/>
    <w:rsid w:val="00C25297"/>
    <w:rsid w:val="00C31C82"/>
    <w:rsid w:val="00C3313C"/>
    <w:rsid w:val="00C33530"/>
    <w:rsid w:val="00C50D8C"/>
    <w:rsid w:val="00C636FA"/>
    <w:rsid w:val="00C95D70"/>
    <w:rsid w:val="00CA2180"/>
    <w:rsid w:val="00CA7E1D"/>
    <w:rsid w:val="00CB45DD"/>
    <w:rsid w:val="00CC06AC"/>
    <w:rsid w:val="00CC200D"/>
    <w:rsid w:val="00CD2D66"/>
    <w:rsid w:val="00CE267F"/>
    <w:rsid w:val="00CE6645"/>
    <w:rsid w:val="00CF37B7"/>
    <w:rsid w:val="00D05579"/>
    <w:rsid w:val="00D065D1"/>
    <w:rsid w:val="00D15660"/>
    <w:rsid w:val="00D267FD"/>
    <w:rsid w:val="00D2724D"/>
    <w:rsid w:val="00D44B10"/>
    <w:rsid w:val="00D4557A"/>
    <w:rsid w:val="00D60A68"/>
    <w:rsid w:val="00D71D0C"/>
    <w:rsid w:val="00D74C40"/>
    <w:rsid w:val="00D94DD9"/>
    <w:rsid w:val="00D9654A"/>
    <w:rsid w:val="00D9705B"/>
    <w:rsid w:val="00DC43B0"/>
    <w:rsid w:val="00DC6F1E"/>
    <w:rsid w:val="00DC746D"/>
    <w:rsid w:val="00DD4B81"/>
    <w:rsid w:val="00DE2DAA"/>
    <w:rsid w:val="00DE58FF"/>
    <w:rsid w:val="00DE5CCD"/>
    <w:rsid w:val="00DF7E5F"/>
    <w:rsid w:val="00E01CCD"/>
    <w:rsid w:val="00E11C6F"/>
    <w:rsid w:val="00E424D4"/>
    <w:rsid w:val="00E51876"/>
    <w:rsid w:val="00E6234A"/>
    <w:rsid w:val="00E65923"/>
    <w:rsid w:val="00E74201"/>
    <w:rsid w:val="00E76F8E"/>
    <w:rsid w:val="00E81DEB"/>
    <w:rsid w:val="00E87FA8"/>
    <w:rsid w:val="00E9045C"/>
    <w:rsid w:val="00EA1E63"/>
    <w:rsid w:val="00EB02B5"/>
    <w:rsid w:val="00EB280D"/>
    <w:rsid w:val="00EB34CB"/>
    <w:rsid w:val="00EC6E3F"/>
    <w:rsid w:val="00EC7851"/>
    <w:rsid w:val="00EE1863"/>
    <w:rsid w:val="00EE6D04"/>
    <w:rsid w:val="00EF48B4"/>
    <w:rsid w:val="00EF6E8F"/>
    <w:rsid w:val="00F01F2C"/>
    <w:rsid w:val="00F0799D"/>
    <w:rsid w:val="00F2761D"/>
    <w:rsid w:val="00F27C3E"/>
    <w:rsid w:val="00F34FCA"/>
    <w:rsid w:val="00F96357"/>
    <w:rsid w:val="00F9748C"/>
    <w:rsid w:val="00FA4717"/>
    <w:rsid w:val="00FC0D77"/>
    <w:rsid w:val="00FC1A08"/>
    <w:rsid w:val="00FD0CAD"/>
    <w:rsid w:val="00FD1EC5"/>
    <w:rsid w:val="00FD50D3"/>
    <w:rsid w:val="00FD6C9C"/>
    <w:rsid w:val="00FD7D32"/>
    <w:rsid w:val="011902F9"/>
    <w:rsid w:val="011A165D"/>
    <w:rsid w:val="01327986"/>
    <w:rsid w:val="01602355"/>
    <w:rsid w:val="018E67E5"/>
    <w:rsid w:val="01BE7444"/>
    <w:rsid w:val="01E948DA"/>
    <w:rsid w:val="01FD4C3A"/>
    <w:rsid w:val="020B502F"/>
    <w:rsid w:val="022760C8"/>
    <w:rsid w:val="023E233F"/>
    <w:rsid w:val="025D0DA0"/>
    <w:rsid w:val="02697BF4"/>
    <w:rsid w:val="026D3E37"/>
    <w:rsid w:val="027B175B"/>
    <w:rsid w:val="0296644D"/>
    <w:rsid w:val="02B54579"/>
    <w:rsid w:val="02B76E2A"/>
    <w:rsid w:val="02CA37E2"/>
    <w:rsid w:val="02F32094"/>
    <w:rsid w:val="02FF4D31"/>
    <w:rsid w:val="032A0FA9"/>
    <w:rsid w:val="03724755"/>
    <w:rsid w:val="038F348F"/>
    <w:rsid w:val="0398011D"/>
    <w:rsid w:val="03A41D18"/>
    <w:rsid w:val="03B07B5A"/>
    <w:rsid w:val="03BB0C03"/>
    <w:rsid w:val="04131528"/>
    <w:rsid w:val="043C1F27"/>
    <w:rsid w:val="047915C0"/>
    <w:rsid w:val="04810CDB"/>
    <w:rsid w:val="049A2572"/>
    <w:rsid w:val="04AB315E"/>
    <w:rsid w:val="04E93667"/>
    <w:rsid w:val="05013B3C"/>
    <w:rsid w:val="050D5319"/>
    <w:rsid w:val="05170656"/>
    <w:rsid w:val="05237282"/>
    <w:rsid w:val="055635AC"/>
    <w:rsid w:val="05682D0D"/>
    <w:rsid w:val="057242AC"/>
    <w:rsid w:val="05904EBC"/>
    <w:rsid w:val="05B516EC"/>
    <w:rsid w:val="06084623"/>
    <w:rsid w:val="06243AA6"/>
    <w:rsid w:val="062672DB"/>
    <w:rsid w:val="064B7B04"/>
    <w:rsid w:val="06653C94"/>
    <w:rsid w:val="067B3A24"/>
    <w:rsid w:val="06B05D5A"/>
    <w:rsid w:val="07060638"/>
    <w:rsid w:val="07093CFB"/>
    <w:rsid w:val="070A19D5"/>
    <w:rsid w:val="0724407B"/>
    <w:rsid w:val="074F4CC3"/>
    <w:rsid w:val="075B219B"/>
    <w:rsid w:val="078D5DB3"/>
    <w:rsid w:val="07FC41BA"/>
    <w:rsid w:val="0824297C"/>
    <w:rsid w:val="08285770"/>
    <w:rsid w:val="08E537CB"/>
    <w:rsid w:val="09105526"/>
    <w:rsid w:val="09162D30"/>
    <w:rsid w:val="09462685"/>
    <w:rsid w:val="094A5850"/>
    <w:rsid w:val="0959310F"/>
    <w:rsid w:val="098C790B"/>
    <w:rsid w:val="09A02787"/>
    <w:rsid w:val="09CA733A"/>
    <w:rsid w:val="09DF069C"/>
    <w:rsid w:val="09E21E86"/>
    <w:rsid w:val="0A0B44E3"/>
    <w:rsid w:val="0A150A56"/>
    <w:rsid w:val="0A15777C"/>
    <w:rsid w:val="0A3A04EC"/>
    <w:rsid w:val="0A654319"/>
    <w:rsid w:val="0A884CBC"/>
    <w:rsid w:val="0A8C4596"/>
    <w:rsid w:val="0AB90C9D"/>
    <w:rsid w:val="0AC14192"/>
    <w:rsid w:val="0AD25E84"/>
    <w:rsid w:val="0B127300"/>
    <w:rsid w:val="0B1E5250"/>
    <w:rsid w:val="0B27746B"/>
    <w:rsid w:val="0B4A0923"/>
    <w:rsid w:val="0B4B0475"/>
    <w:rsid w:val="0B843B29"/>
    <w:rsid w:val="0B987B3A"/>
    <w:rsid w:val="0BD53CC5"/>
    <w:rsid w:val="0C011783"/>
    <w:rsid w:val="0C07197D"/>
    <w:rsid w:val="0C0960BD"/>
    <w:rsid w:val="0C1C2EF4"/>
    <w:rsid w:val="0C3010EA"/>
    <w:rsid w:val="0C760267"/>
    <w:rsid w:val="0C835236"/>
    <w:rsid w:val="0CA1225E"/>
    <w:rsid w:val="0CF176FA"/>
    <w:rsid w:val="0D1439C3"/>
    <w:rsid w:val="0D156505"/>
    <w:rsid w:val="0D5A4DCD"/>
    <w:rsid w:val="0D6D37BB"/>
    <w:rsid w:val="0D7A2F53"/>
    <w:rsid w:val="0D962DED"/>
    <w:rsid w:val="0DA06B24"/>
    <w:rsid w:val="0DC930CB"/>
    <w:rsid w:val="0DE35DCE"/>
    <w:rsid w:val="0DF2361A"/>
    <w:rsid w:val="0E150CA9"/>
    <w:rsid w:val="0E291C6C"/>
    <w:rsid w:val="0E302BF9"/>
    <w:rsid w:val="0E3A2191"/>
    <w:rsid w:val="0EEC596C"/>
    <w:rsid w:val="0EF84221"/>
    <w:rsid w:val="0F2D1038"/>
    <w:rsid w:val="0F2E5039"/>
    <w:rsid w:val="0F3A500B"/>
    <w:rsid w:val="0F451057"/>
    <w:rsid w:val="0F4F3B50"/>
    <w:rsid w:val="0F5D0629"/>
    <w:rsid w:val="0F761D01"/>
    <w:rsid w:val="0FB135A4"/>
    <w:rsid w:val="0FBA6A93"/>
    <w:rsid w:val="0FC9521C"/>
    <w:rsid w:val="0FD73CD4"/>
    <w:rsid w:val="0FDB1B73"/>
    <w:rsid w:val="103238A9"/>
    <w:rsid w:val="10494CE4"/>
    <w:rsid w:val="104F679F"/>
    <w:rsid w:val="1066306D"/>
    <w:rsid w:val="1080309C"/>
    <w:rsid w:val="108C2378"/>
    <w:rsid w:val="10BB7EFA"/>
    <w:rsid w:val="10FA79CD"/>
    <w:rsid w:val="110A1C33"/>
    <w:rsid w:val="11300BAE"/>
    <w:rsid w:val="11312B13"/>
    <w:rsid w:val="115E7718"/>
    <w:rsid w:val="116322E6"/>
    <w:rsid w:val="11944FE3"/>
    <w:rsid w:val="11B702ED"/>
    <w:rsid w:val="1203536E"/>
    <w:rsid w:val="12C01286"/>
    <w:rsid w:val="13014055"/>
    <w:rsid w:val="13110C26"/>
    <w:rsid w:val="131A1D7E"/>
    <w:rsid w:val="13282143"/>
    <w:rsid w:val="1353472A"/>
    <w:rsid w:val="1361651F"/>
    <w:rsid w:val="136C7976"/>
    <w:rsid w:val="138B4C44"/>
    <w:rsid w:val="138E106E"/>
    <w:rsid w:val="13BD6A06"/>
    <w:rsid w:val="13C245AB"/>
    <w:rsid w:val="142D33F2"/>
    <w:rsid w:val="14463509"/>
    <w:rsid w:val="144A010D"/>
    <w:rsid w:val="14C70F1A"/>
    <w:rsid w:val="14D06737"/>
    <w:rsid w:val="14E5561F"/>
    <w:rsid w:val="15717B18"/>
    <w:rsid w:val="158353B2"/>
    <w:rsid w:val="15882014"/>
    <w:rsid w:val="15B834B1"/>
    <w:rsid w:val="15C9151C"/>
    <w:rsid w:val="15F04F1E"/>
    <w:rsid w:val="15F506DD"/>
    <w:rsid w:val="15F93A4F"/>
    <w:rsid w:val="162E3A3B"/>
    <w:rsid w:val="165321B7"/>
    <w:rsid w:val="165A63AF"/>
    <w:rsid w:val="166B6C47"/>
    <w:rsid w:val="168B5C69"/>
    <w:rsid w:val="169C0E37"/>
    <w:rsid w:val="16A6607B"/>
    <w:rsid w:val="16E1207A"/>
    <w:rsid w:val="16F23BEF"/>
    <w:rsid w:val="17010E06"/>
    <w:rsid w:val="17265E58"/>
    <w:rsid w:val="173262D8"/>
    <w:rsid w:val="174E3B48"/>
    <w:rsid w:val="175212A4"/>
    <w:rsid w:val="176309C9"/>
    <w:rsid w:val="177C1706"/>
    <w:rsid w:val="17814A51"/>
    <w:rsid w:val="17857926"/>
    <w:rsid w:val="17D920F9"/>
    <w:rsid w:val="18042568"/>
    <w:rsid w:val="18212708"/>
    <w:rsid w:val="18253D5B"/>
    <w:rsid w:val="18547120"/>
    <w:rsid w:val="18682CD3"/>
    <w:rsid w:val="18736DB5"/>
    <w:rsid w:val="18974757"/>
    <w:rsid w:val="189E21D1"/>
    <w:rsid w:val="18FC0BC8"/>
    <w:rsid w:val="19060057"/>
    <w:rsid w:val="190D6703"/>
    <w:rsid w:val="191E3FDB"/>
    <w:rsid w:val="192A605B"/>
    <w:rsid w:val="19404784"/>
    <w:rsid w:val="19B42287"/>
    <w:rsid w:val="19BA0507"/>
    <w:rsid w:val="19CB6C05"/>
    <w:rsid w:val="1A141EE5"/>
    <w:rsid w:val="1A236E42"/>
    <w:rsid w:val="1A7F1531"/>
    <w:rsid w:val="1A9A0DC7"/>
    <w:rsid w:val="1ABF3C7E"/>
    <w:rsid w:val="1AC75E0B"/>
    <w:rsid w:val="1ACD6D16"/>
    <w:rsid w:val="1AD17227"/>
    <w:rsid w:val="1AEB4476"/>
    <w:rsid w:val="1B5A6ECB"/>
    <w:rsid w:val="1B6F0F2F"/>
    <w:rsid w:val="1B753A3C"/>
    <w:rsid w:val="1BBE0502"/>
    <w:rsid w:val="1BE86B8D"/>
    <w:rsid w:val="1C144A53"/>
    <w:rsid w:val="1C5B5CAF"/>
    <w:rsid w:val="1C8E2A5C"/>
    <w:rsid w:val="1C90567D"/>
    <w:rsid w:val="1CEC31DD"/>
    <w:rsid w:val="1CF95C32"/>
    <w:rsid w:val="1D0625CF"/>
    <w:rsid w:val="1D0C146B"/>
    <w:rsid w:val="1D1E543C"/>
    <w:rsid w:val="1D2C4944"/>
    <w:rsid w:val="1D2D60D2"/>
    <w:rsid w:val="1D3466A2"/>
    <w:rsid w:val="1D504E5E"/>
    <w:rsid w:val="1D57128B"/>
    <w:rsid w:val="1D5A3611"/>
    <w:rsid w:val="1DA472E7"/>
    <w:rsid w:val="1DFD5512"/>
    <w:rsid w:val="1E423050"/>
    <w:rsid w:val="1E5D6266"/>
    <w:rsid w:val="1E7C57B8"/>
    <w:rsid w:val="1EAC4B27"/>
    <w:rsid w:val="1EFD1149"/>
    <w:rsid w:val="1F0A5409"/>
    <w:rsid w:val="1F1B30DA"/>
    <w:rsid w:val="1F247584"/>
    <w:rsid w:val="1F2A0A0F"/>
    <w:rsid w:val="1F587A89"/>
    <w:rsid w:val="1F5B01FB"/>
    <w:rsid w:val="1FA8100F"/>
    <w:rsid w:val="1FF81223"/>
    <w:rsid w:val="200454FD"/>
    <w:rsid w:val="202B2E69"/>
    <w:rsid w:val="204A47EC"/>
    <w:rsid w:val="209C1FFE"/>
    <w:rsid w:val="20AB646E"/>
    <w:rsid w:val="20EB7C7C"/>
    <w:rsid w:val="20F004BB"/>
    <w:rsid w:val="2148232C"/>
    <w:rsid w:val="2150383D"/>
    <w:rsid w:val="21620E04"/>
    <w:rsid w:val="217E1BB8"/>
    <w:rsid w:val="219A4544"/>
    <w:rsid w:val="21C76B85"/>
    <w:rsid w:val="21CD517E"/>
    <w:rsid w:val="21D05101"/>
    <w:rsid w:val="21DF0D77"/>
    <w:rsid w:val="21E34859"/>
    <w:rsid w:val="22706CC7"/>
    <w:rsid w:val="227E4C36"/>
    <w:rsid w:val="22811DB4"/>
    <w:rsid w:val="22D20EAA"/>
    <w:rsid w:val="22F20BC2"/>
    <w:rsid w:val="22F274CE"/>
    <w:rsid w:val="22FB47DD"/>
    <w:rsid w:val="230E671E"/>
    <w:rsid w:val="2310128C"/>
    <w:rsid w:val="23471145"/>
    <w:rsid w:val="23630601"/>
    <w:rsid w:val="23795A72"/>
    <w:rsid w:val="23876C98"/>
    <w:rsid w:val="23D96F0C"/>
    <w:rsid w:val="23F514EC"/>
    <w:rsid w:val="2410339D"/>
    <w:rsid w:val="241F0CD0"/>
    <w:rsid w:val="241F7801"/>
    <w:rsid w:val="243907B9"/>
    <w:rsid w:val="246D244B"/>
    <w:rsid w:val="24DA040E"/>
    <w:rsid w:val="24FF62BD"/>
    <w:rsid w:val="25295FFD"/>
    <w:rsid w:val="25312437"/>
    <w:rsid w:val="25387122"/>
    <w:rsid w:val="253C3D44"/>
    <w:rsid w:val="254B5ABF"/>
    <w:rsid w:val="254E3C0D"/>
    <w:rsid w:val="25A72E4E"/>
    <w:rsid w:val="25DA7F48"/>
    <w:rsid w:val="25EA55D9"/>
    <w:rsid w:val="25EC60F8"/>
    <w:rsid w:val="260D709D"/>
    <w:rsid w:val="261C5C2D"/>
    <w:rsid w:val="262B186D"/>
    <w:rsid w:val="262E5CD2"/>
    <w:rsid w:val="2642482E"/>
    <w:rsid w:val="269F50C7"/>
    <w:rsid w:val="26F20E74"/>
    <w:rsid w:val="271C6A06"/>
    <w:rsid w:val="27250923"/>
    <w:rsid w:val="27545AAB"/>
    <w:rsid w:val="276116E6"/>
    <w:rsid w:val="2773465C"/>
    <w:rsid w:val="27C36D3F"/>
    <w:rsid w:val="27E26670"/>
    <w:rsid w:val="28194803"/>
    <w:rsid w:val="288A2D19"/>
    <w:rsid w:val="28980368"/>
    <w:rsid w:val="28AD7CE8"/>
    <w:rsid w:val="290443D4"/>
    <w:rsid w:val="290E632E"/>
    <w:rsid w:val="293572A1"/>
    <w:rsid w:val="2954739F"/>
    <w:rsid w:val="29666CDC"/>
    <w:rsid w:val="299B2727"/>
    <w:rsid w:val="29B04820"/>
    <w:rsid w:val="29BA6CD3"/>
    <w:rsid w:val="29D77E75"/>
    <w:rsid w:val="29DD1E28"/>
    <w:rsid w:val="29E56538"/>
    <w:rsid w:val="2A5150F2"/>
    <w:rsid w:val="2A59756D"/>
    <w:rsid w:val="2A666D0F"/>
    <w:rsid w:val="2A6D63AC"/>
    <w:rsid w:val="2A732AFE"/>
    <w:rsid w:val="2A7415F2"/>
    <w:rsid w:val="2A753264"/>
    <w:rsid w:val="2AB74E84"/>
    <w:rsid w:val="2AC97D8A"/>
    <w:rsid w:val="2B2F2DD0"/>
    <w:rsid w:val="2B3F5827"/>
    <w:rsid w:val="2B4954BE"/>
    <w:rsid w:val="2B56418C"/>
    <w:rsid w:val="2B7B2B80"/>
    <w:rsid w:val="2BEB6979"/>
    <w:rsid w:val="2C040543"/>
    <w:rsid w:val="2C577E69"/>
    <w:rsid w:val="2C7714BB"/>
    <w:rsid w:val="2C803DEA"/>
    <w:rsid w:val="2C852667"/>
    <w:rsid w:val="2C8D2BF2"/>
    <w:rsid w:val="2C8D3B7B"/>
    <w:rsid w:val="2C9256F1"/>
    <w:rsid w:val="2CAE2EBD"/>
    <w:rsid w:val="2CC61242"/>
    <w:rsid w:val="2CCE666E"/>
    <w:rsid w:val="2CD20138"/>
    <w:rsid w:val="2CD67C7B"/>
    <w:rsid w:val="2CDA1862"/>
    <w:rsid w:val="2CEB2325"/>
    <w:rsid w:val="2D2360C7"/>
    <w:rsid w:val="2D597166"/>
    <w:rsid w:val="2D606B6D"/>
    <w:rsid w:val="2D8868B6"/>
    <w:rsid w:val="2DD45166"/>
    <w:rsid w:val="2DD92F0B"/>
    <w:rsid w:val="2DE07C92"/>
    <w:rsid w:val="2DEC466E"/>
    <w:rsid w:val="2DFD04FF"/>
    <w:rsid w:val="2E422126"/>
    <w:rsid w:val="2E667179"/>
    <w:rsid w:val="2E673AD7"/>
    <w:rsid w:val="2E9B3735"/>
    <w:rsid w:val="2EC22AC8"/>
    <w:rsid w:val="2EC54B50"/>
    <w:rsid w:val="2F1D174A"/>
    <w:rsid w:val="2F23224A"/>
    <w:rsid w:val="2F294B34"/>
    <w:rsid w:val="2F520AC1"/>
    <w:rsid w:val="2F666558"/>
    <w:rsid w:val="2F6E1858"/>
    <w:rsid w:val="2F935819"/>
    <w:rsid w:val="2FE542BB"/>
    <w:rsid w:val="2FFB2ADC"/>
    <w:rsid w:val="2FFE7A7B"/>
    <w:rsid w:val="301915E5"/>
    <w:rsid w:val="303D39BF"/>
    <w:rsid w:val="303F47FE"/>
    <w:rsid w:val="304F161F"/>
    <w:rsid w:val="305C5377"/>
    <w:rsid w:val="309F33AA"/>
    <w:rsid w:val="30CA1656"/>
    <w:rsid w:val="30DB4D4D"/>
    <w:rsid w:val="30E52A40"/>
    <w:rsid w:val="31064448"/>
    <w:rsid w:val="316169E0"/>
    <w:rsid w:val="3163170A"/>
    <w:rsid w:val="31B25BF7"/>
    <w:rsid w:val="32254047"/>
    <w:rsid w:val="32297974"/>
    <w:rsid w:val="326E32B4"/>
    <w:rsid w:val="327D6EE5"/>
    <w:rsid w:val="32940522"/>
    <w:rsid w:val="329B7CE0"/>
    <w:rsid w:val="32BA5629"/>
    <w:rsid w:val="32E63C62"/>
    <w:rsid w:val="33430227"/>
    <w:rsid w:val="33565DCF"/>
    <w:rsid w:val="33A37712"/>
    <w:rsid w:val="33AB5EC8"/>
    <w:rsid w:val="33B66BDE"/>
    <w:rsid w:val="33CA34A2"/>
    <w:rsid w:val="33FB2340"/>
    <w:rsid w:val="34045698"/>
    <w:rsid w:val="34062808"/>
    <w:rsid w:val="340A4DD9"/>
    <w:rsid w:val="340A5160"/>
    <w:rsid w:val="34306D90"/>
    <w:rsid w:val="343409F0"/>
    <w:rsid w:val="343D1DB8"/>
    <w:rsid w:val="346F50FB"/>
    <w:rsid w:val="3493610B"/>
    <w:rsid w:val="34936F10"/>
    <w:rsid w:val="34B74952"/>
    <w:rsid w:val="34B82DCF"/>
    <w:rsid w:val="34BD5641"/>
    <w:rsid w:val="34C66890"/>
    <w:rsid w:val="34DB193F"/>
    <w:rsid w:val="34EC1347"/>
    <w:rsid w:val="34EE524E"/>
    <w:rsid w:val="34F152D1"/>
    <w:rsid w:val="350E1D20"/>
    <w:rsid w:val="351C415E"/>
    <w:rsid w:val="35492F21"/>
    <w:rsid w:val="354C42A0"/>
    <w:rsid w:val="357623CA"/>
    <w:rsid w:val="358024DE"/>
    <w:rsid w:val="358E1326"/>
    <w:rsid w:val="35F27E2E"/>
    <w:rsid w:val="36456334"/>
    <w:rsid w:val="369457D3"/>
    <w:rsid w:val="36B3372D"/>
    <w:rsid w:val="36D11060"/>
    <w:rsid w:val="3725516E"/>
    <w:rsid w:val="372F3408"/>
    <w:rsid w:val="37326B49"/>
    <w:rsid w:val="374D5B54"/>
    <w:rsid w:val="37732ECA"/>
    <w:rsid w:val="379E46D3"/>
    <w:rsid w:val="37E602CE"/>
    <w:rsid w:val="37EE7CB2"/>
    <w:rsid w:val="381B7081"/>
    <w:rsid w:val="38317620"/>
    <w:rsid w:val="384636D8"/>
    <w:rsid w:val="389D12F3"/>
    <w:rsid w:val="389E6023"/>
    <w:rsid w:val="38C42D1A"/>
    <w:rsid w:val="38C87687"/>
    <w:rsid w:val="38DF15BC"/>
    <w:rsid w:val="391E0A2B"/>
    <w:rsid w:val="392344FD"/>
    <w:rsid w:val="39656631"/>
    <w:rsid w:val="399615A6"/>
    <w:rsid w:val="399D54E4"/>
    <w:rsid w:val="3A3748C1"/>
    <w:rsid w:val="3A5764F1"/>
    <w:rsid w:val="3A8A61FD"/>
    <w:rsid w:val="3A8C1420"/>
    <w:rsid w:val="3AA805D4"/>
    <w:rsid w:val="3AB65155"/>
    <w:rsid w:val="3ADE121F"/>
    <w:rsid w:val="3B035197"/>
    <w:rsid w:val="3B204D30"/>
    <w:rsid w:val="3B3411B1"/>
    <w:rsid w:val="3BB31D52"/>
    <w:rsid w:val="3BBF0467"/>
    <w:rsid w:val="3BD412EC"/>
    <w:rsid w:val="3BFB4F3F"/>
    <w:rsid w:val="3C437003"/>
    <w:rsid w:val="3C931467"/>
    <w:rsid w:val="3D0F579B"/>
    <w:rsid w:val="3D2B4EE1"/>
    <w:rsid w:val="3D4A1860"/>
    <w:rsid w:val="3D5A6178"/>
    <w:rsid w:val="3D8E7E99"/>
    <w:rsid w:val="3DB0549D"/>
    <w:rsid w:val="3DB10B02"/>
    <w:rsid w:val="3DC756CA"/>
    <w:rsid w:val="3E26175E"/>
    <w:rsid w:val="3E5E6AB8"/>
    <w:rsid w:val="3EC171C7"/>
    <w:rsid w:val="3EC42B55"/>
    <w:rsid w:val="3ECF0086"/>
    <w:rsid w:val="3F0B600E"/>
    <w:rsid w:val="3F3C29B5"/>
    <w:rsid w:val="3F7869C2"/>
    <w:rsid w:val="3F7F4F2C"/>
    <w:rsid w:val="3F8B2159"/>
    <w:rsid w:val="3F9E5F34"/>
    <w:rsid w:val="3FA76B85"/>
    <w:rsid w:val="401244FF"/>
    <w:rsid w:val="402008B1"/>
    <w:rsid w:val="406E3777"/>
    <w:rsid w:val="408F5715"/>
    <w:rsid w:val="409F68F6"/>
    <w:rsid w:val="40C62CAE"/>
    <w:rsid w:val="40F75144"/>
    <w:rsid w:val="412D1350"/>
    <w:rsid w:val="41BE2D67"/>
    <w:rsid w:val="41C8092A"/>
    <w:rsid w:val="41D43C08"/>
    <w:rsid w:val="41F65A45"/>
    <w:rsid w:val="422277DA"/>
    <w:rsid w:val="42305527"/>
    <w:rsid w:val="423D1858"/>
    <w:rsid w:val="424478F2"/>
    <w:rsid w:val="42474DF0"/>
    <w:rsid w:val="42527F35"/>
    <w:rsid w:val="429E244A"/>
    <w:rsid w:val="42D969F2"/>
    <w:rsid w:val="42E014C7"/>
    <w:rsid w:val="42E63669"/>
    <w:rsid w:val="42F163D2"/>
    <w:rsid w:val="432F3CA1"/>
    <w:rsid w:val="43325174"/>
    <w:rsid w:val="43390D7E"/>
    <w:rsid w:val="436A19A5"/>
    <w:rsid w:val="43711C7F"/>
    <w:rsid w:val="43B91124"/>
    <w:rsid w:val="43E15E2F"/>
    <w:rsid w:val="43E422D8"/>
    <w:rsid w:val="44314DB8"/>
    <w:rsid w:val="44553B13"/>
    <w:rsid w:val="447A5994"/>
    <w:rsid w:val="44822FF8"/>
    <w:rsid w:val="448A7A45"/>
    <w:rsid w:val="449D2E6B"/>
    <w:rsid w:val="44AC3CE8"/>
    <w:rsid w:val="44CB0B0E"/>
    <w:rsid w:val="44CD1579"/>
    <w:rsid w:val="452E08EE"/>
    <w:rsid w:val="452F1E91"/>
    <w:rsid w:val="454B2508"/>
    <w:rsid w:val="455F711C"/>
    <w:rsid w:val="459405F5"/>
    <w:rsid w:val="45C918BE"/>
    <w:rsid w:val="45D0222B"/>
    <w:rsid w:val="45EE37D7"/>
    <w:rsid w:val="461113BD"/>
    <w:rsid w:val="46244AD7"/>
    <w:rsid w:val="46513B06"/>
    <w:rsid w:val="465A3F16"/>
    <w:rsid w:val="4682725A"/>
    <w:rsid w:val="46916381"/>
    <w:rsid w:val="469441C2"/>
    <w:rsid w:val="46AF4F73"/>
    <w:rsid w:val="46D66783"/>
    <w:rsid w:val="46E51E3D"/>
    <w:rsid w:val="46F25943"/>
    <w:rsid w:val="47105ADE"/>
    <w:rsid w:val="471B7DDA"/>
    <w:rsid w:val="472C7A96"/>
    <w:rsid w:val="477E39B8"/>
    <w:rsid w:val="47A202C3"/>
    <w:rsid w:val="47F83A57"/>
    <w:rsid w:val="481820F2"/>
    <w:rsid w:val="483C078B"/>
    <w:rsid w:val="48A70009"/>
    <w:rsid w:val="491F1A22"/>
    <w:rsid w:val="49AD0480"/>
    <w:rsid w:val="49B0315E"/>
    <w:rsid w:val="49BB2EF4"/>
    <w:rsid w:val="4A1853B5"/>
    <w:rsid w:val="4A2F458C"/>
    <w:rsid w:val="4A3D0285"/>
    <w:rsid w:val="4A594BAA"/>
    <w:rsid w:val="4A644580"/>
    <w:rsid w:val="4A9B2F22"/>
    <w:rsid w:val="4AA06C04"/>
    <w:rsid w:val="4AA57B4A"/>
    <w:rsid w:val="4AB3039F"/>
    <w:rsid w:val="4AD44809"/>
    <w:rsid w:val="4AE45607"/>
    <w:rsid w:val="4AF77E58"/>
    <w:rsid w:val="4B152684"/>
    <w:rsid w:val="4B5B59D2"/>
    <w:rsid w:val="4BBA50B1"/>
    <w:rsid w:val="4BCF0113"/>
    <w:rsid w:val="4BD560F4"/>
    <w:rsid w:val="4BEC1785"/>
    <w:rsid w:val="4C185612"/>
    <w:rsid w:val="4C62463B"/>
    <w:rsid w:val="4C746DC9"/>
    <w:rsid w:val="4C8B0D91"/>
    <w:rsid w:val="4C9C1AB3"/>
    <w:rsid w:val="4CB50A3A"/>
    <w:rsid w:val="4CE835A2"/>
    <w:rsid w:val="4D1D1D23"/>
    <w:rsid w:val="4D786D88"/>
    <w:rsid w:val="4D8E0861"/>
    <w:rsid w:val="4D8E49F2"/>
    <w:rsid w:val="4DAF67F5"/>
    <w:rsid w:val="4DD835BE"/>
    <w:rsid w:val="4E2665C2"/>
    <w:rsid w:val="4E5B047D"/>
    <w:rsid w:val="4EB47689"/>
    <w:rsid w:val="4ECA0F65"/>
    <w:rsid w:val="4ED50F80"/>
    <w:rsid w:val="4EE522DD"/>
    <w:rsid w:val="4F125FBC"/>
    <w:rsid w:val="4F314080"/>
    <w:rsid w:val="4F4A6ECD"/>
    <w:rsid w:val="4F7A01AC"/>
    <w:rsid w:val="4F8C3435"/>
    <w:rsid w:val="4F9A17B3"/>
    <w:rsid w:val="4FA17BAA"/>
    <w:rsid w:val="4FDC787D"/>
    <w:rsid w:val="50003B49"/>
    <w:rsid w:val="500D2A73"/>
    <w:rsid w:val="50223BBC"/>
    <w:rsid w:val="505A18E3"/>
    <w:rsid w:val="505B1200"/>
    <w:rsid w:val="505E66B9"/>
    <w:rsid w:val="5079534B"/>
    <w:rsid w:val="509567EA"/>
    <w:rsid w:val="50A4165C"/>
    <w:rsid w:val="50D27BED"/>
    <w:rsid w:val="50D609E7"/>
    <w:rsid w:val="50D95EA7"/>
    <w:rsid w:val="50E75D7D"/>
    <w:rsid w:val="51162DFF"/>
    <w:rsid w:val="513A2D06"/>
    <w:rsid w:val="51734AF6"/>
    <w:rsid w:val="517A10F1"/>
    <w:rsid w:val="517C4746"/>
    <w:rsid w:val="51863223"/>
    <w:rsid w:val="51A73985"/>
    <w:rsid w:val="51BF2F80"/>
    <w:rsid w:val="51CB0435"/>
    <w:rsid w:val="51DF68AE"/>
    <w:rsid w:val="51E90F7E"/>
    <w:rsid w:val="51FC642C"/>
    <w:rsid w:val="52365D46"/>
    <w:rsid w:val="523D15BC"/>
    <w:rsid w:val="52E021E3"/>
    <w:rsid w:val="53265483"/>
    <w:rsid w:val="53394EEC"/>
    <w:rsid w:val="536E1592"/>
    <w:rsid w:val="53897AE7"/>
    <w:rsid w:val="53B5344B"/>
    <w:rsid w:val="542169E6"/>
    <w:rsid w:val="54675B62"/>
    <w:rsid w:val="546A76B6"/>
    <w:rsid w:val="549151FF"/>
    <w:rsid w:val="54C55922"/>
    <w:rsid w:val="54F01CBE"/>
    <w:rsid w:val="55460EE9"/>
    <w:rsid w:val="554E3E66"/>
    <w:rsid w:val="556C6BFD"/>
    <w:rsid w:val="55721B24"/>
    <w:rsid w:val="55753EB8"/>
    <w:rsid w:val="557F7B99"/>
    <w:rsid w:val="55994771"/>
    <w:rsid w:val="55AD3E3A"/>
    <w:rsid w:val="55B925CE"/>
    <w:rsid w:val="55C7591B"/>
    <w:rsid w:val="55CF36F6"/>
    <w:rsid w:val="55FC6B87"/>
    <w:rsid w:val="56082AA6"/>
    <w:rsid w:val="56724C33"/>
    <w:rsid w:val="56911815"/>
    <w:rsid w:val="56CA2458"/>
    <w:rsid w:val="56DE4379"/>
    <w:rsid w:val="56F73B08"/>
    <w:rsid w:val="56FE6CA4"/>
    <w:rsid w:val="570302DF"/>
    <w:rsid w:val="57042BA7"/>
    <w:rsid w:val="570921CC"/>
    <w:rsid w:val="57321CA9"/>
    <w:rsid w:val="57374864"/>
    <w:rsid w:val="57451B7A"/>
    <w:rsid w:val="5769656D"/>
    <w:rsid w:val="57C73C21"/>
    <w:rsid w:val="58175F78"/>
    <w:rsid w:val="58323330"/>
    <w:rsid w:val="583976C3"/>
    <w:rsid w:val="58672D0A"/>
    <w:rsid w:val="587D2015"/>
    <w:rsid w:val="58815031"/>
    <w:rsid w:val="58820A4C"/>
    <w:rsid w:val="58DA13D4"/>
    <w:rsid w:val="59000E98"/>
    <w:rsid w:val="59274C10"/>
    <w:rsid w:val="597A04C7"/>
    <w:rsid w:val="59886E47"/>
    <w:rsid w:val="599A26ED"/>
    <w:rsid w:val="59A53EBA"/>
    <w:rsid w:val="59B11688"/>
    <w:rsid w:val="59B34F51"/>
    <w:rsid w:val="59CD0AE7"/>
    <w:rsid w:val="59D93EF0"/>
    <w:rsid w:val="5A021DF4"/>
    <w:rsid w:val="5A060B15"/>
    <w:rsid w:val="5A367E9E"/>
    <w:rsid w:val="5A53729C"/>
    <w:rsid w:val="5A5E1B38"/>
    <w:rsid w:val="5A6E6819"/>
    <w:rsid w:val="5A87676F"/>
    <w:rsid w:val="5A9B0C8F"/>
    <w:rsid w:val="5AC767A5"/>
    <w:rsid w:val="5AD87DFC"/>
    <w:rsid w:val="5AE243E6"/>
    <w:rsid w:val="5B4F0129"/>
    <w:rsid w:val="5B6E5866"/>
    <w:rsid w:val="5B765F50"/>
    <w:rsid w:val="5BC21E4E"/>
    <w:rsid w:val="5C2628DD"/>
    <w:rsid w:val="5C3A4143"/>
    <w:rsid w:val="5C4D78FF"/>
    <w:rsid w:val="5C505049"/>
    <w:rsid w:val="5C580BFC"/>
    <w:rsid w:val="5C81207D"/>
    <w:rsid w:val="5CA93018"/>
    <w:rsid w:val="5CE1641F"/>
    <w:rsid w:val="5D586D79"/>
    <w:rsid w:val="5D61439B"/>
    <w:rsid w:val="5D823663"/>
    <w:rsid w:val="5D9017F4"/>
    <w:rsid w:val="5D9C101E"/>
    <w:rsid w:val="5DBF745C"/>
    <w:rsid w:val="5DDD7BB2"/>
    <w:rsid w:val="5E164DB3"/>
    <w:rsid w:val="5E35519D"/>
    <w:rsid w:val="5E386AE3"/>
    <w:rsid w:val="5E50431F"/>
    <w:rsid w:val="5E7F7AAA"/>
    <w:rsid w:val="5E8419C4"/>
    <w:rsid w:val="5E874278"/>
    <w:rsid w:val="5EA758E5"/>
    <w:rsid w:val="5EC7514C"/>
    <w:rsid w:val="5F1A16C4"/>
    <w:rsid w:val="5F1D3493"/>
    <w:rsid w:val="5F3A1618"/>
    <w:rsid w:val="5F3E60DD"/>
    <w:rsid w:val="5F9E58A4"/>
    <w:rsid w:val="5FD61DB3"/>
    <w:rsid w:val="6019414D"/>
    <w:rsid w:val="60226990"/>
    <w:rsid w:val="603A3966"/>
    <w:rsid w:val="60831B98"/>
    <w:rsid w:val="60882DE7"/>
    <w:rsid w:val="608C32B2"/>
    <w:rsid w:val="609E7D99"/>
    <w:rsid w:val="60B342B7"/>
    <w:rsid w:val="60CA2542"/>
    <w:rsid w:val="60CA68E6"/>
    <w:rsid w:val="60D65D7A"/>
    <w:rsid w:val="60E90965"/>
    <w:rsid w:val="61230C97"/>
    <w:rsid w:val="6155555F"/>
    <w:rsid w:val="61607B1E"/>
    <w:rsid w:val="619A42C5"/>
    <w:rsid w:val="61A73611"/>
    <w:rsid w:val="61BE0D51"/>
    <w:rsid w:val="61EE697A"/>
    <w:rsid w:val="6210742A"/>
    <w:rsid w:val="623351ED"/>
    <w:rsid w:val="62456DE3"/>
    <w:rsid w:val="62502608"/>
    <w:rsid w:val="6264481B"/>
    <w:rsid w:val="626D5BE7"/>
    <w:rsid w:val="628E0DBE"/>
    <w:rsid w:val="629A28F7"/>
    <w:rsid w:val="62E00D6F"/>
    <w:rsid w:val="62F75AFD"/>
    <w:rsid w:val="63063903"/>
    <w:rsid w:val="63494041"/>
    <w:rsid w:val="636B63B5"/>
    <w:rsid w:val="63C0498C"/>
    <w:rsid w:val="63C72B9C"/>
    <w:rsid w:val="63EF13DF"/>
    <w:rsid w:val="641031DD"/>
    <w:rsid w:val="643A2BFC"/>
    <w:rsid w:val="644418A4"/>
    <w:rsid w:val="644740C2"/>
    <w:rsid w:val="64497A12"/>
    <w:rsid w:val="645857A8"/>
    <w:rsid w:val="647F5DB8"/>
    <w:rsid w:val="65336784"/>
    <w:rsid w:val="654F4CAD"/>
    <w:rsid w:val="655303EF"/>
    <w:rsid w:val="656A74B9"/>
    <w:rsid w:val="656F7C5D"/>
    <w:rsid w:val="65B0367D"/>
    <w:rsid w:val="65D619FB"/>
    <w:rsid w:val="65E61522"/>
    <w:rsid w:val="65E66A0D"/>
    <w:rsid w:val="65F103BE"/>
    <w:rsid w:val="66537CBC"/>
    <w:rsid w:val="66AF0975"/>
    <w:rsid w:val="66FF6A72"/>
    <w:rsid w:val="672544B1"/>
    <w:rsid w:val="674D4E82"/>
    <w:rsid w:val="67527C02"/>
    <w:rsid w:val="6753796F"/>
    <w:rsid w:val="67AA6595"/>
    <w:rsid w:val="67B866F2"/>
    <w:rsid w:val="67DA57A0"/>
    <w:rsid w:val="680C718C"/>
    <w:rsid w:val="680D771C"/>
    <w:rsid w:val="681E7C54"/>
    <w:rsid w:val="68321804"/>
    <w:rsid w:val="685A5333"/>
    <w:rsid w:val="689028C9"/>
    <w:rsid w:val="68A27F8D"/>
    <w:rsid w:val="68CD5F55"/>
    <w:rsid w:val="68E322EB"/>
    <w:rsid w:val="68FE0DD3"/>
    <w:rsid w:val="69166546"/>
    <w:rsid w:val="692952C1"/>
    <w:rsid w:val="69426686"/>
    <w:rsid w:val="694A5EC7"/>
    <w:rsid w:val="694B0F76"/>
    <w:rsid w:val="69515C35"/>
    <w:rsid w:val="6954060C"/>
    <w:rsid w:val="696E526C"/>
    <w:rsid w:val="69721ADB"/>
    <w:rsid w:val="698C5C7A"/>
    <w:rsid w:val="698F5027"/>
    <w:rsid w:val="69E8156F"/>
    <w:rsid w:val="6A0C731A"/>
    <w:rsid w:val="6A1418A3"/>
    <w:rsid w:val="6A540760"/>
    <w:rsid w:val="6A620BEF"/>
    <w:rsid w:val="6AA609BB"/>
    <w:rsid w:val="6AC05A3A"/>
    <w:rsid w:val="6AD400C2"/>
    <w:rsid w:val="6B07292B"/>
    <w:rsid w:val="6B140D65"/>
    <w:rsid w:val="6B563AC2"/>
    <w:rsid w:val="6B791A3D"/>
    <w:rsid w:val="6B9A347A"/>
    <w:rsid w:val="6BAB26A5"/>
    <w:rsid w:val="6BB32E8B"/>
    <w:rsid w:val="6BC516C6"/>
    <w:rsid w:val="6BCB3DB7"/>
    <w:rsid w:val="6C123DEC"/>
    <w:rsid w:val="6C3B314F"/>
    <w:rsid w:val="6C47172B"/>
    <w:rsid w:val="6C6C1783"/>
    <w:rsid w:val="6C79272C"/>
    <w:rsid w:val="6C8B4B78"/>
    <w:rsid w:val="6C9926EB"/>
    <w:rsid w:val="6CA405AF"/>
    <w:rsid w:val="6CEA43CE"/>
    <w:rsid w:val="6CF724E8"/>
    <w:rsid w:val="6D33610D"/>
    <w:rsid w:val="6D3C5E3C"/>
    <w:rsid w:val="6D50312C"/>
    <w:rsid w:val="6D7145AA"/>
    <w:rsid w:val="6D824BC3"/>
    <w:rsid w:val="6D8E3DA7"/>
    <w:rsid w:val="6D9479EB"/>
    <w:rsid w:val="6E063BBF"/>
    <w:rsid w:val="6E090B02"/>
    <w:rsid w:val="6E10543D"/>
    <w:rsid w:val="6E1D3FEE"/>
    <w:rsid w:val="6E525609"/>
    <w:rsid w:val="6E674124"/>
    <w:rsid w:val="6E742A7F"/>
    <w:rsid w:val="6E747987"/>
    <w:rsid w:val="6E807E47"/>
    <w:rsid w:val="6EA22227"/>
    <w:rsid w:val="6EAB71E6"/>
    <w:rsid w:val="6EB178AC"/>
    <w:rsid w:val="6ED321BB"/>
    <w:rsid w:val="6F0309DE"/>
    <w:rsid w:val="6F1935D7"/>
    <w:rsid w:val="6F206AB1"/>
    <w:rsid w:val="6F383385"/>
    <w:rsid w:val="6F3E1AE0"/>
    <w:rsid w:val="6F426940"/>
    <w:rsid w:val="6F742B8B"/>
    <w:rsid w:val="6F7D0686"/>
    <w:rsid w:val="6FDA2D1F"/>
    <w:rsid w:val="700B7004"/>
    <w:rsid w:val="706075D0"/>
    <w:rsid w:val="70962701"/>
    <w:rsid w:val="709C1A26"/>
    <w:rsid w:val="70C025DF"/>
    <w:rsid w:val="70CB42FA"/>
    <w:rsid w:val="70CD1C90"/>
    <w:rsid w:val="70E52B39"/>
    <w:rsid w:val="71046663"/>
    <w:rsid w:val="71667FEE"/>
    <w:rsid w:val="718867BE"/>
    <w:rsid w:val="719B4946"/>
    <w:rsid w:val="719F011B"/>
    <w:rsid w:val="71B413BE"/>
    <w:rsid w:val="71B5169C"/>
    <w:rsid w:val="71BE41AA"/>
    <w:rsid w:val="71F8786D"/>
    <w:rsid w:val="7225075B"/>
    <w:rsid w:val="723D3B4B"/>
    <w:rsid w:val="724E28A6"/>
    <w:rsid w:val="726522F2"/>
    <w:rsid w:val="7275361A"/>
    <w:rsid w:val="72C91BC4"/>
    <w:rsid w:val="72D7441F"/>
    <w:rsid w:val="72DC11ED"/>
    <w:rsid w:val="72E851C7"/>
    <w:rsid w:val="73181D03"/>
    <w:rsid w:val="731C082C"/>
    <w:rsid w:val="732B0994"/>
    <w:rsid w:val="734D7206"/>
    <w:rsid w:val="736202E2"/>
    <w:rsid w:val="739919B7"/>
    <w:rsid w:val="73B86DCF"/>
    <w:rsid w:val="73C07EB9"/>
    <w:rsid w:val="73E07E2B"/>
    <w:rsid w:val="740635B7"/>
    <w:rsid w:val="742262EB"/>
    <w:rsid w:val="74295A42"/>
    <w:rsid w:val="74335CEE"/>
    <w:rsid w:val="745D12BC"/>
    <w:rsid w:val="746F7995"/>
    <w:rsid w:val="74753B10"/>
    <w:rsid w:val="74A072BC"/>
    <w:rsid w:val="74AD26CC"/>
    <w:rsid w:val="74DA2C19"/>
    <w:rsid w:val="74E31759"/>
    <w:rsid w:val="74E91857"/>
    <w:rsid w:val="75050182"/>
    <w:rsid w:val="750B3242"/>
    <w:rsid w:val="752131AC"/>
    <w:rsid w:val="752962D9"/>
    <w:rsid w:val="75567E96"/>
    <w:rsid w:val="757F50FA"/>
    <w:rsid w:val="75A90326"/>
    <w:rsid w:val="75C71D67"/>
    <w:rsid w:val="75D63301"/>
    <w:rsid w:val="75E14E54"/>
    <w:rsid w:val="75EF278F"/>
    <w:rsid w:val="75FF09F2"/>
    <w:rsid w:val="7645538F"/>
    <w:rsid w:val="764E3246"/>
    <w:rsid w:val="765A1F44"/>
    <w:rsid w:val="76764516"/>
    <w:rsid w:val="768B3491"/>
    <w:rsid w:val="76904456"/>
    <w:rsid w:val="76B8684B"/>
    <w:rsid w:val="772B002D"/>
    <w:rsid w:val="774065AB"/>
    <w:rsid w:val="77650913"/>
    <w:rsid w:val="777654CC"/>
    <w:rsid w:val="77791BF2"/>
    <w:rsid w:val="77986087"/>
    <w:rsid w:val="77BE3336"/>
    <w:rsid w:val="77CF598A"/>
    <w:rsid w:val="787A0A60"/>
    <w:rsid w:val="787A7B88"/>
    <w:rsid w:val="787F0BBB"/>
    <w:rsid w:val="78890E22"/>
    <w:rsid w:val="789B342A"/>
    <w:rsid w:val="78BE1476"/>
    <w:rsid w:val="78CA124C"/>
    <w:rsid w:val="78F45065"/>
    <w:rsid w:val="791D7AD1"/>
    <w:rsid w:val="79262783"/>
    <w:rsid w:val="79315D82"/>
    <w:rsid w:val="797541D6"/>
    <w:rsid w:val="79A64BC6"/>
    <w:rsid w:val="79A76788"/>
    <w:rsid w:val="79D2403D"/>
    <w:rsid w:val="79D875B3"/>
    <w:rsid w:val="79E57075"/>
    <w:rsid w:val="7A206759"/>
    <w:rsid w:val="7A263988"/>
    <w:rsid w:val="7A2D3665"/>
    <w:rsid w:val="7A326522"/>
    <w:rsid w:val="7A6C61DE"/>
    <w:rsid w:val="7A9770B5"/>
    <w:rsid w:val="7ADA3459"/>
    <w:rsid w:val="7ADC46AF"/>
    <w:rsid w:val="7AF947C8"/>
    <w:rsid w:val="7B3F165E"/>
    <w:rsid w:val="7B996A9F"/>
    <w:rsid w:val="7BA74F50"/>
    <w:rsid w:val="7BB2147C"/>
    <w:rsid w:val="7BB416B2"/>
    <w:rsid w:val="7C3A50D8"/>
    <w:rsid w:val="7C7D5F15"/>
    <w:rsid w:val="7CF144B1"/>
    <w:rsid w:val="7CF21BF3"/>
    <w:rsid w:val="7D3575D5"/>
    <w:rsid w:val="7D431E24"/>
    <w:rsid w:val="7D503B8A"/>
    <w:rsid w:val="7D97756C"/>
    <w:rsid w:val="7DBB373B"/>
    <w:rsid w:val="7E1D64C9"/>
    <w:rsid w:val="7E3A2310"/>
    <w:rsid w:val="7E3F2260"/>
    <w:rsid w:val="7E4511F9"/>
    <w:rsid w:val="7E5B37E1"/>
    <w:rsid w:val="7E6E0C5E"/>
    <w:rsid w:val="7E7E4294"/>
    <w:rsid w:val="7E8B33F2"/>
    <w:rsid w:val="7E966DBF"/>
    <w:rsid w:val="7E980A93"/>
    <w:rsid w:val="7EC10A5F"/>
    <w:rsid w:val="7ECB7DEB"/>
    <w:rsid w:val="7ECE42E1"/>
    <w:rsid w:val="7ED86B9B"/>
    <w:rsid w:val="7EEC2672"/>
    <w:rsid w:val="7F051F83"/>
    <w:rsid w:val="7F053D69"/>
    <w:rsid w:val="7F2B097E"/>
    <w:rsid w:val="7F2C44E4"/>
    <w:rsid w:val="7F33133F"/>
    <w:rsid w:val="7F4A2A49"/>
    <w:rsid w:val="7F4B1F12"/>
    <w:rsid w:val="7F4C7163"/>
    <w:rsid w:val="7F78294F"/>
    <w:rsid w:val="7F841D9F"/>
    <w:rsid w:val="7F940244"/>
    <w:rsid w:val="7FD10649"/>
    <w:rsid w:val="7FE102D4"/>
    <w:rsid w:val="7FED1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keepLines/>
      <w:numPr>
        <w:ilvl w:val="0"/>
        <w:numId w:val="1"/>
      </w:numPr>
      <w:spacing w:before="340" w:after="330" w:line="578" w:lineRule="auto"/>
      <w:jc w:val="center"/>
      <w:outlineLvl w:val="0"/>
    </w:pPr>
    <w:rPr>
      <w:b/>
      <w:kern w:val="44"/>
      <w:sz w:val="44"/>
      <w:szCs w:val="20"/>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link w:val="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4">
    <w:name w:val="annotation text"/>
    <w:basedOn w:val="1"/>
    <w:link w:val="21"/>
    <w:semiHidden/>
    <w:unhideWhenUsed/>
    <w:qFormat/>
    <w:uiPriority w:val="99"/>
    <w:pPr>
      <w:jc w:val="left"/>
    </w:pPr>
  </w:style>
  <w:style w:type="paragraph" w:styleId="5">
    <w:name w:val="Body Text"/>
    <w:basedOn w:val="1"/>
    <w:link w:val="27"/>
    <w:semiHidden/>
    <w:unhideWhenUsed/>
    <w:qFormat/>
    <w:uiPriority w:val="99"/>
    <w:pPr>
      <w:spacing w:after="120"/>
    </w:pPr>
  </w:style>
  <w:style w:type="paragraph" w:styleId="6">
    <w:name w:val="Body Text Indent"/>
    <w:basedOn w:val="1"/>
    <w:link w:val="25"/>
    <w:semiHidden/>
    <w:unhideWhenUsed/>
    <w:qFormat/>
    <w:uiPriority w:val="99"/>
    <w:pPr>
      <w:spacing w:after="120"/>
      <w:ind w:left="420" w:leftChars="200"/>
    </w:pPr>
  </w:style>
  <w:style w:type="paragraph" w:styleId="7">
    <w:name w:val="Balloon Text"/>
    <w:basedOn w:val="1"/>
    <w:link w:val="23"/>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Autospacing="1" w:afterAutospacing="1"/>
      <w:jc w:val="left"/>
    </w:pPr>
    <w:rPr>
      <w:rFonts w:ascii="Calibri" w:hAnsi="Calibri" w:eastAsia="宋体" w:cs="Times New Roman"/>
      <w:kern w:val="0"/>
      <w:sz w:val="24"/>
      <w:szCs w:val="24"/>
    </w:rPr>
  </w:style>
  <w:style w:type="paragraph" w:styleId="11">
    <w:name w:val="annotation subject"/>
    <w:basedOn w:val="4"/>
    <w:next w:val="4"/>
    <w:link w:val="22"/>
    <w:semiHidden/>
    <w:unhideWhenUsed/>
    <w:qFormat/>
    <w:uiPriority w:val="99"/>
    <w:rPr>
      <w:b/>
      <w:bCs/>
    </w:rPr>
  </w:style>
  <w:style w:type="paragraph" w:styleId="12">
    <w:name w:val="Body Text First Indent 2"/>
    <w:basedOn w:val="6"/>
    <w:link w:val="26"/>
    <w:qFormat/>
    <w:uiPriority w:val="0"/>
    <w:pPr>
      <w:ind w:left="0" w:leftChars="0" w:firstLine="420"/>
    </w:pPr>
    <w:rPr>
      <w:rFonts w:ascii="Times New Roman" w:hAns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unhideWhenUsed/>
    <w:qFormat/>
    <w:uiPriority w:val="0"/>
    <w:rPr>
      <w:sz w:val="21"/>
      <w:szCs w:val="21"/>
    </w:rPr>
  </w:style>
  <w:style w:type="paragraph" w:styleId="17">
    <w:name w:val="List Paragraph"/>
    <w:basedOn w:val="1"/>
    <w:qFormat/>
    <w:uiPriority w:val="34"/>
    <w:pPr>
      <w:ind w:firstLine="420" w:firstLineChars="200"/>
    </w:p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paragraph" w:customStyle="1" w:styleId="20">
    <w:name w:val="正文1"/>
    <w:qFormat/>
    <w:uiPriority w:val="99"/>
    <w:pPr>
      <w:widowControl w:val="0"/>
      <w:jc w:val="both"/>
    </w:pPr>
    <w:rPr>
      <w:rFonts w:ascii="Calibri" w:hAnsi="Calibri" w:eastAsia="宋体" w:cs="Times New Roman"/>
      <w:lang w:val="en-US" w:eastAsia="zh-CN" w:bidi="ar-SA"/>
    </w:rPr>
  </w:style>
  <w:style w:type="character" w:customStyle="1" w:styleId="21">
    <w:name w:val="批注文字 Char"/>
    <w:basedOn w:val="15"/>
    <w:link w:val="4"/>
    <w:semiHidden/>
    <w:qFormat/>
    <w:uiPriority w:val="99"/>
    <w:rPr>
      <w:rFonts w:asciiTheme="minorHAnsi" w:hAnsiTheme="minorHAnsi" w:eastAsiaTheme="minorEastAsia" w:cstheme="minorBidi"/>
      <w:kern w:val="2"/>
      <w:sz w:val="21"/>
      <w:szCs w:val="22"/>
    </w:rPr>
  </w:style>
  <w:style w:type="character" w:customStyle="1" w:styleId="22">
    <w:name w:val="批注主题 Char"/>
    <w:basedOn w:val="21"/>
    <w:link w:val="11"/>
    <w:semiHidden/>
    <w:qFormat/>
    <w:uiPriority w:val="99"/>
    <w:rPr>
      <w:rFonts w:asciiTheme="minorHAnsi" w:hAnsiTheme="minorHAnsi" w:eastAsiaTheme="minorEastAsia" w:cstheme="minorBidi"/>
      <w:b/>
      <w:bCs/>
      <w:kern w:val="2"/>
      <w:sz w:val="21"/>
      <w:szCs w:val="22"/>
    </w:rPr>
  </w:style>
  <w:style w:type="character" w:customStyle="1" w:styleId="23">
    <w:name w:val="批注框文本 Char"/>
    <w:basedOn w:val="15"/>
    <w:link w:val="7"/>
    <w:semiHidden/>
    <w:qFormat/>
    <w:uiPriority w:val="99"/>
    <w:rPr>
      <w:rFonts w:asciiTheme="minorHAnsi" w:hAnsiTheme="minorHAnsi" w:eastAsiaTheme="minorEastAsia" w:cstheme="minorBidi"/>
      <w:kern w:val="2"/>
      <w:sz w:val="18"/>
      <w:szCs w:val="18"/>
    </w:rPr>
  </w:style>
  <w:style w:type="character" w:customStyle="1" w:styleId="24">
    <w:name w:val="HTML 预设格式 Char"/>
    <w:basedOn w:val="15"/>
    <w:link w:val="2"/>
    <w:qFormat/>
    <w:uiPriority w:val="99"/>
    <w:rPr>
      <w:rFonts w:ascii="Courier New" w:hAnsi="Courier New" w:eastAsiaTheme="minorEastAsia" w:cstheme="minorBidi"/>
    </w:rPr>
  </w:style>
  <w:style w:type="character" w:customStyle="1" w:styleId="25">
    <w:name w:val="正文文本缩进 Char"/>
    <w:basedOn w:val="15"/>
    <w:link w:val="6"/>
    <w:semiHidden/>
    <w:qFormat/>
    <w:uiPriority w:val="99"/>
    <w:rPr>
      <w:rFonts w:asciiTheme="minorHAnsi" w:hAnsiTheme="minorHAnsi" w:eastAsiaTheme="minorEastAsia" w:cstheme="minorBidi"/>
      <w:kern w:val="2"/>
      <w:sz w:val="21"/>
      <w:szCs w:val="22"/>
    </w:rPr>
  </w:style>
  <w:style w:type="character" w:customStyle="1" w:styleId="26">
    <w:name w:val="正文首行缩进 2 Char"/>
    <w:basedOn w:val="25"/>
    <w:link w:val="12"/>
    <w:qFormat/>
    <w:uiPriority w:val="0"/>
    <w:rPr>
      <w:rFonts w:asciiTheme="minorHAnsi" w:hAnsiTheme="minorHAnsi" w:eastAsiaTheme="minorEastAsia" w:cstheme="minorBidi"/>
      <w:kern w:val="2"/>
      <w:sz w:val="21"/>
      <w:szCs w:val="22"/>
    </w:rPr>
  </w:style>
  <w:style w:type="character" w:customStyle="1" w:styleId="27">
    <w:name w:val="正文文本 Char"/>
    <w:basedOn w:val="15"/>
    <w:link w:val="5"/>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3276</Words>
  <Characters>4436</Characters>
  <Lines>33</Lines>
  <Paragraphs>9</Paragraphs>
  <TotalTime>168</TotalTime>
  <ScaleCrop>false</ScaleCrop>
  <LinksUpToDate>false</LinksUpToDate>
  <CharactersWithSpaces>4443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2024-01-09T01:24:00Z</dcterms:created>
  <dc:creator>lujinzhi</dc:creator>
  <cp:lastModifiedBy>雪冰</cp:lastModifiedBy>
  <cp:lastPrinted>2023-03-15T05:51:00Z</cp:lastPrinted>
  <dcterms:modified xsi:type="dcterms:W3CDTF">2024-02-27T05:51:27Z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9F74ABB108AA41179A15C041CB6D41E3</vt:lpwstr>
  </property>
</Properties>
</file>